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EAE4" w14:textId="12C013DC" w:rsidR="008012DB" w:rsidRPr="00A2565B" w:rsidRDefault="008012DB" w:rsidP="0037488D">
      <w:pPr>
        <w:spacing w:line="360" w:lineRule="auto"/>
        <w:ind w:right="89"/>
        <w:rPr>
          <w:b/>
          <w:bCs/>
          <w:color w:val="000000" w:themeColor="text1"/>
          <w:lang w:val="en-US"/>
        </w:rPr>
      </w:pPr>
    </w:p>
    <w:p w14:paraId="7483D4E4" w14:textId="1809DDC0" w:rsidR="008012DB" w:rsidRPr="00C76FB3" w:rsidRDefault="007876D7" w:rsidP="007876D7">
      <w:pPr>
        <w:spacing w:line="360" w:lineRule="auto"/>
        <w:jc w:val="center"/>
        <w:rPr>
          <w:b/>
          <w:bCs/>
        </w:rPr>
      </w:pPr>
      <w:r w:rsidRPr="00A2565B">
        <w:rPr>
          <w:b/>
          <w:bCs/>
        </w:rPr>
        <w:t xml:space="preserve">Expertise and the </w:t>
      </w:r>
      <w:r w:rsidR="008012DB" w:rsidRPr="00A2565B">
        <w:rPr>
          <w:b/>
          <w:bCs/>
        </w:rPr>
        <w:t xml:space="preserve">Ethics of </w:t>
      </w:r>
      <w:proofErr w:type="spellStart"/>
      <w:r w:rsidR="008012DB" w:rsidRPr="00A2565B">
        <w:rPr>
          <w:b/>
          <w:bCs/>
        </w:rPr>
        <w:t>Trust</w:t>
      </w:r>
      <w:r w:rsidR="0037488D" w:rsidRPr="00A2565B">
        <w:rPr>
          <w:b/>
          <w:bCs/>
        </w:rPr>
        <w:t>:</w:t>
      </w:r>
      <w:r w:rsidRPr="00C76FB3">
        <w:rPr>
          <w:b/>
          <w:bCs/>
        </w:rPr>
        <w:t>A</w:t>
      </w:r>
      <w:proofErr w:type="spellEnd"/>
      <w:r w:rsidRPr="00C76FB3">
        <w:rPr>
          <w:b/>
          <w:bCs/>
        </w:rPr>
        <w:t xml:space="preserve"> </w:t>
      </w:r>
      <w:r w:rsidR="00CA070E" w:rsidRPr="00C76FB3">
        <w:rPr>
          <w:b/>
          <w:bCs/>
        </w:rPr>
        <w:t>Review</w:t>
      </w:r>
    </w:p>
    <w:p w14:paraId="65D8FE9B" w14:textId="58E4C962" w:rsidR="008012DB" w:rsidRPr="00C76FB3" w:rsidRDefault="008012DB" w:rsidP="00DD7F35">
      <w:pPr>
        <w:spacing w:line="360" w:lineRule="auto"/>
        <w:jc w:val="center"/>
        <w:rPr>
          <w:b/>
          <w:bCs/>
          <w:lang w:val="it-IT"/>
        </w:rPr>
      </w:pPr>
      <w:r w:rsidRPr="00C76FB3">
        <w:rPr>
          <w:b/>
          <w:bCs/>
          <w:lang w:val="it-IT"/>
        </w:rPr>
        <w:t>Maria Baghramian</w:t>
      </w:r>
      <w:r w:rsidR="00CA070E" w:rsidRPr="00C76FB3">
        <w:rPr>
          <w:b/>
          <w:bCs/>
          <w:lang w:val="it-IT"/>
        </w:rPr>
        <w:t xml:space="preserve"> and </w:t>
      </w:r>
      <w:r w:rsidRPr="00C76FB3">
        <w:rPr>
          <w:b/>
          <w:bCs/>
          <w:lang w:val="it-IT"/>
        </w:rPr>
        <w:t xml:space="preserve">Silvia </w:t>
      </w:r>
      <w:r w:rsidR="00DD7F35" w:rsidRPr="00C76FB3">
        <w:rPr>
          <w:b/>
          <w:bCs/>
          <w:lang w:val="it-IT"/>
        </w:rPr>
        <w:t xml:space="preserve">Caprioglio </w:t>
      </w:r>
      <w:r w:rsidRPr="00C76FB3">
        <w:rPr>
          <w:b/>
          <w:bCs/>
          <w:lang w:val="it-IT"/>
        </w:rPr>
        <w:t>Panizza</w:t>
      </w:r>
      <w:r w:rsidR="00F914B5" w:rsidRPr="00C76FB3">
        <w:rPr>
          <w:b/>
          <w:bCs/>
          <w:lang w:val="it-IT"/>
        </w:rPr>
        <w:t xml:space="preserve"> </w:t>
      </w:r>
    </w:p>
    <w:p w14:paraId="36AB6510" w14:textId="77777777" w:rsidR="00866C4D" w:rsidRPr="00C76FB3" w:rsidRDefault="00866C4D" w:rsidP="008012DB">
      <w:pPr>
        <w:spacing w:line="360" w:lineRule="auto"/>
        <w:jc w:val="center"/>
        <w:rPr>
          <w:b/>
          <w:bCs/>
        </w:rPr>
      </w:pPr>
    </w:p>
    <w:p w14:paraId="1C4E80D6" w14:textId="77777777" w:rsidR="00866C4D" w:rsidRPr="00C76FB3" w:rsidRDefault="00866C4D" w:rsidP="008012DB">
      <w:pPr>
        <w:spacing w:line="360" w:lineRule="auto"/>
        <w:jc w:val="center"/>
        <w:rPr>
          <w:b/>
          <w:bCs/>
        </w:rPr>
      </w:pPr>
    </w:p>
    <w:p w14:paraId="4DEA24D1" w14:textId="77777777" w:rsidR="00866C4D" w:rsidRPr="00C76FB3" w:rsidRDefault="00866C4D" w:rsidP="008012DB">
      <w:pPr>
        <w:spacing w:line="360" w:lineRule="auto"/>
        <w:jc w:val="center"/>
        <w:rPr>
          <w:b/>
          <w:bCs/>
        </w:rPr>
      </w:pPr>
    </w:p>
    <w:p w14:paraId="4B3D8E7D" w14:textId="0AB1467F" w:rsidR="009239A4" w:rsidRPr="00C76FB3" w:rsidRDefault="007876D7" w:rsidP="008012DB">
      <w:pPr>
        <w:spacing w:line="360" w:lineRule="auto"/>
        <w:jc w:val="center"/>
        <w:rPr>
          <w:b/>
          <w:bCs/>
        </w:rPr>
      </w:pPr>
      <w:r w:rsidRPr="00C76FB3">
        <w:rPr>
          <w:b/>
          <w:bCs/>
        </w:rPr>
        <w:t>Abstract</w:t>
      </w:r>
    </w:p>
    <w:p w14:paraId="3C7584F5" w14:textId="77777777" w:rsidR="008012DB" w:rsidRPr="00C76FB3" w:rsidRDefault="008012DB" w:rsidP="008012DB">
      <w:pPr>
        <w:spacing w:line="360" w:lineRule="auto"/>
      </w:pPr>
    </w:p>
    <w:p w14:paraId="753CF457" w14:textId="019A60BB" w:rsidR="00005A66" w:rsidRPr="00C76FB3" w:rsidRDefault="00853178" w:rsidP="007F0F64">
      <w:pPr>
        <w:spacing w:line="360" w:lineRule="auto"/>
        <w:rPr>
          <w:lang w:val="en-US"/>
        </w:rPr>
      </w:pPr>
      <w:r w:rsidRPr="00C76FB3">
        <w:rPr>
          <w:lang w:val="en-US"/>
        </w:rPr>
        <w:t>Th</w:t>
      </w:r>
      <w:r w:rsidR="007876D7" w:rsidRPr="00C76FB3">
        <w:rPr>
          <w:lang w:val="en-US"/>
        </w:rPr>
        <w:t xml:space="preserve">is </w:t>
      </w:r>
      <w:r w:rsidR="007C3F5F" w:rsidRPr="00C76FB3">
        <w:rPr>
          <w:lang w:val="en-US"/>
        </w:rPr>
        <w:t>review</w:t>
      </w:r>
      <w:r w:rsidR="007876D7" w:rsidRPr="00C76FB3">
        <w:rPr>
          <w:lang w:val="en-US"/>
        </w:rPr>
        <w:t xml:space="preserve"> pape</w:t>
      </w:r>
      <w:r w:rsidRPr="00C76FB3">
        <w:rPr>
          <w:lang w:val="en-US"/>
        </w:rPr>
        <w:t xml:space="preserve">r on the </w:t>
      </w:r>
      <w:r w:rsidR="00CA070E" w:rsidRPr="00C76FB3">
        <w:rPr>
          <w:lang w:val="en-US"/>
        </w:rPr>
        <w:t>ethical issues</w:t>
      </w:r>
      <w:r w:rsidR="00005A66" w:rsidRPr="00C76FB3">
        <w:rPr>
          <w:lang w:val="en-US"/>
        </w:rPr>
        <w:t xml:space="preserve"> surrounding t</w:t>
      </w:r>
      <w:r w:rsidRPr="00C76FB3">
        <w:rPr>
          <w:lang w:val="en-US"/>
        </w:rPr>
        <w:t>rust</w:t>
      </w:r>
      <w:r w:rsidR="00005A66" w:rsidRPr="00C76FB3">
        <w:rPr>
          <w:lang w:val="en-US"/>
        </w:rPr>
        <w:t xml:space="preserve"> in experts</w:t>
      </w:r>
      <w:r w:rsidRPr="00C76FB3">
        <w:rPr>
          <w:lang w:val="en-US"/>
        </w:rPr>
        <w:t xml:space="preserve"> </w:t>
      </w:r>
      <w:r w:rsidR="0037643E" w:rsidRPr="00C76FB3">
        <w:rPr>
          <w:lang w:val="en-US"/>
        </w:rPr>
        <w:t>focuse</w:t>
      </w:r>
      <w:r w:rsidR="00DC6FBE" w:rsidRPr="00C76FB3">
        <w:rPr>
          <w:lang w:val="en-US"/>
        </w:rPr>
        <w:t>s</w:t>
      </w:r>
      <w:r w:rsidRPr="00C76FB3">
        <w:rPr>
          <w:lang w:val="en-US"/>
        </w:rPr>
        <w:t xml:space="preserve"> on</w:t>
      </w:r>
      <w:r w:rsidR="00787CE7" w:rsidRPr="00C76FB3">
        <w:rPr>
          <w:lang w:val="en-US"/>
        </w:rPr>
        <w:t xml:space="preserve"> </w:t>
      </w:r>
      <w:r w:rsidRPr="00C76FB3">
        <w:rPr>
          <w:lang w:val="en-US"/>
        </w:rPr>
        <w:t>epistemic trust and its ethical implications.</w:t>
      </w:r>
      <w:r w:rsidR="007F0F64" w:rsidRPr="00C76FB3">
        <w:rPr>
          <w:lang w:val="en-US"/>
        </w:rPr>
        <w:t xml:space="preserve"> </w:t>
      </w:r>
      <w:r w:rsidR="0037643E" w:rsidRPr="00C76FB3">
        <w:rPr>
          <w:lang w:val="en-US"/>
        </w:rPr>
        <w:t>Th</w:t>
      </w:r>
      <w:r w:rsidR="007F0F64" w:rsidRPr="00C76FB3">
        <w:rPr>
          <w:lang w:val="en-US"/>
        </w:rPr>
        <w:t>e</w:t>
      </w:r>
      <w:r w:rsidR="0037643E" w:rsidRPr="00C76FB3">
        <w:rPr>
          <w:lang w:val="en-US"/>
        </w:rPr>
        <w:t xml:space="preserve"> </w:t>
      </w:r>
      <w:r w:rsidR="00005A66" w:rsidRPr="00C76FB3">
        <w:rPr>
          <w:lang w:val="en-US"/>
        </w:rPr>
        <w:t xml:space="preserve">paper is divided into four </w:t>
      </w:r>
      <w:r w:rsidR="0037488D" w:rsidRPr="00C76FB3">
        <w:rPr>
          <w:lang w:val="en-US"/>
        </w:rPr>
        <w:t>sections</w:t>
      </w:r>
      <w:r w:rsidR="00005A66" w:rsidRPr="00C76FB3">
        <w:rPr>
          <w:lang w:val="en-US"/>
        </w:rPr>
        <w:t xml:space="preserve">: </w:t>
      </w:r>
      <w:r w:rsidR="0037488D" w:rsidRPr="00C76FB3">
        <w:rPr>
          <w:lang w:val="en-US"/>
        </w:rPr>
        <w:t xml:space="preserve">Section </w:t>
      </w:r>
      <w:r w:rsidR="007876D7" w:rsidRPr="00C76FB3">
        <w:rPr>
          <w:lang w:val="en-US"/>
        </w:rPr>
        <w:t>I</w:t>
      </w:r>
      <w:r w:rsidR="00742F85" w:rsidRPr="00C76FB3">
        <w:rPr>
          <w:lang w:val="en-US"/>
        </w:rPr>
        <w:t xml:space="preserve"> m</w:t>
      </w:r>
      <w:r w:rsidR="00F914B5" w:rsidRPr="00C76FB3">
        <w:rPr>
          <w:lang w:val="en-US"/>
        </w:rPr>
        <w:t>aps key philosophical discussions of trust</w:t>
      </w:r>
      <w:r w:rsidR="00742F85" w:rsidRPr="00C76FB3">
        <w:rPr>
          <w:lang w:val="en-US"/>
        </w:rPr>
        <w:t xml:space="preserve">; </w:t>
      </w:r>
      <w:r w:rsidR="0037488D" w:rsidRPr="00C76FB3">
        <w:rPr>
          <w:lang w:val="en-US"/>
        </w:rPr>
        <w:t xml:space="preserve">Section </w:t>
      </w:r>
      <w:r w:rsidR="007876D7" w:rsidRPr="00C76FB3">
        <w:rPr>
          <w:lang w:val="en-US"/>
        </w:rPr>
        <w:t>II</w:t>
      </w:r>
      <w:r w:rsidR="00F914B5" w:rsidRPr="00C76FB3">
        <w:rPr>
          <w:lang w:val="en-US"/>
        </w:rPr>
        <w:t xml:space="preserve"> </w:t>
      </w:r>
      <w:r w:rsidR="00742F85" w:rsidRPr="00C76FB3">
        <w:rPr>
          <w:lang w:val="en-US"/>
        </w:rPr>
        <w:t>d</w:t>
      </w:r>
      <w:r w:rsidR="00F914B5" w:rsidRPr="00C76FB3">
        <w:rPr>
          <w:lang w:val="en-US"/>
        </w:rPr>
        <w:t>iscuss</w:t>
      </w:r>
      <w:r w:rsidR="007876D7" w:rsidRPr="00C76FB3">
        <w:rPr>
          <w:lang w:val="en-US"/>
        </w:rPr>
        <w:t>es</w:t>
      </w:r>
      <w:r w:rsidR="00F914B5" w:rsidRPr="00C76FB3">
        <w:rPr>
          <w:lang w:val="en-US"/>
        </w:rPr>
        <w:t xml:space="preserve"> the breakdown of trust</w:t>
      </w:r>
      <w:r w:rsidR="00CA070E" w:rsidRPr="00C76FB3">
        <w:rPr>
          <w:lang w:val="en-US"/>
        </w:rPr>
        <w:t xml:space="preserve">; </w:t>
      </w:r>
      <w:r w:rsidR="0037488D" w:rsidRPr="00C76FB3">
        <w:rPr>
          <w:lang w:val="en-US"/>
        </w:rPr>
        <w:t xml:space="preserve">Section </w:t>
      </w:r>
      <w:r w:rsidR="007876D7" w:rsidRPr="00C76FB3">
        <w:rPr>
          <w:lang w:val="en-US"/>
        </w:rPr>
        <w:t>I</w:t>
      </w:r>
      <w:r w:rsidR="0037643E" w:rsidRPr="00C76FB3">
        <w:rPr>
          <w:lang w:val="en-US"/>
        </w:rPr>
        <w:t>II</w:t>
      </w:r>
      <w:r w:rsidR="00742F85" w:rsidRPr="00C76FB3">
        <w:rPr>
          <w:lang w:val="en-US"/>
        </w:rPr>
        <w:t xml:space="preserve"> f</w:t>
      </w:r>
      <w:r w:rsidR="00F914B5" w:rsidRPr="00C76FB3">
        <w:rPr>
          <w:lang w:val="en-US"/>
        </w:rPr>
        <w:t xml:space="preserve">ocuses on the core issue </w:t>
      </w:r>
      <w:r w:rsidR="00755DEF" w:rsidRPr="00C76FB3">
        <w:rPr>
          <w:lang w:val="en-US"/>
        </w:rPr>
        <w:t xml:space="preserve">in </w:t>
      </w:r>
      <w:r w:rsidR="00F914B5" w:rsidRPr="00C76FB3">
        <w:rPr>
          <w:lang w:val="en-US"/>
        </w:rPr>
        <w:t>the ethics of trust</w:t>
      </w:r>
      <w:r w:rsidR="00005A66" w:rsidRPr="00C76FB3">
        <w:rPr>
          <w:lang w:val="en-US"/>
        </w:rPr>
        <w:t xml:space="preserve"> an</w:t>
      </w:r>
      <w:r w:rsidR="00742F85" w:rsidRPr="00C76FB3">
        <w:rPr>
          <w:lang w:val="en-US"/>
        </w:rPr>
        <w:t>d</w:t>
      </w:r>
      <w:r w:rsidR="00DE0C81" w:rsidRPr="00C76FB3">
        <w:rPr>
          <w:lang w:val="en-US"/>
        </w:rPr>
        <w:t xml:space="preserve"> is divided into four subsections</w:t>
      </w:r>
      <w:r w:rsidR="00CA070E" w:rsidRPr="00C76FB3">
        <w:rPr>
          <w:lang w:val="en-US"/>
        </w:rPr>
        <w:t xml:space="preserve">; </w:t>
      </w:r>
      <w:r w:rsidR="0037488D" w:rsidRPr="00C76FB3">
        <w:rPr>
          <w:lang w:val="en-US"/>
        </w:rPr>
        <w:t xml:space="preserve">Section </w:t>
      </w:r>
      <w:r w:rsidR="003C1D50" w:rsidRPr="00C76FB3">
        <w:rPr>
          <w:lang w:val="en-US"/>
        </w:rPr>
        <w:t>I</w:t>
      </w:r>
      <w:r w:rsidR="007876D7" w:rsidRPr="00C76FB3">
        <w:rPr>
          <w:lang w:val="en-US"/>
        </w:rPr>
        <w:t>V</w:t>
      </w:r>
      <w:r w:rsidR="00742F85" w:rsidRPr="00C76FB3">
        <w:rPr>
          <w:lang w:val="en-US"/>
        </w:rPr>
        <w:t xml:space="preserve"> d</w:t>
      </w:r>
      <w:r w:rsidR="00AF70B9" w:rsidRPr="00C76FB3">
        <w:rPr>
          <w:lang w:val="en-US"/>
        </w:rPr>
        <w:t xml:space="preserve">eals with the question of </w:t>
      </w:r>
      <w:r w:rsidR="00BB59CA" w:rsidRPr="00C76FB3">
        <w:rPr>
          <w:lang w:val="en-US"/>
        </w:rPr>
        <w:t>distrust.</w:t>
      </w:r>
      <w:r w:rsidR="00CA070E" w:rsidRPr="00C76FB3">
        <w:rPr>
          <w:lang w:val="en-US"/>
        </w:rPr>
        <w:t xml:space="preserve"> </w:t>
      </w:r>
      <w:r w:rsidR="00005A66" w:rsidRPr="00C76FB3">
        <w:rPr>
          <w:lang w:val="en-US"/>
        </w:rPr>
        <w:t xml:space="preserve">We conclude with some </w:t>
      </w:r>
      <w:r w:rsidR="00B70442" w:rsidRPr="00C76FB3">
        <w:rPr>
          <w:lang w:val="en-US"/>
        </w:rPr>
        <w:t xml:space="preserve">suggestions for creating conditions in which both trust and distrust </w:t>
      </w:r>
      <w:r w:rsidR="0044665C" w:rsidRPr="00C76FB3">
        <w:rPr>
          <w:lang w:val="en-US"/>
        </w:rPr>
        <w:t xml:space="preserve">can play </w:t>
      </w:r>
      <w:r w:rsidR="00B70442" w:rsidRPr="00C76FB3">
        <w:rPr>
          <w:lang w:val="en-US"/>
        </w:rPr>
        <w:t>socially, epistemic</w:t>
      </w:r>
      <w:r w:rsidR="0044665C" w:rsidRPr="00C76FB3">
        <w:rPr>
          <w:lang w:val="en-US"/>
        </w:rPr>
        <w:t>ally</w:t>
      </w:r>
      <w:r w:rsidR="00B70442" w:rsidRPr="00C76FB3">
        <w:rPr>
          <w:lang w:val="en-US"/>
        </w:rPr>
        <w:t xml:space="preserve">, and morally useful </w:t>
      </w:r>
      <w:r w:rsidR="0044665C" w:rsidRPr="00C76FB3">
        <w:rPr>
          <w:lang w:val="en-US"/>
        </w:rPr>
        <w:t xml:space="preserve">roles within a broader </w:t>
      </w:r>
      <w:r w:rsidR="00B70442" w:rsidRPr="00C76FB3">
        <w:rPr>
          <w:lang w:val="en-US"/>
        </w:rPr>
        <w:t>climate of trust.</w:t>
      </w:r>
    </w:p>
    <w:p w14:paraId="7465B212" w14:textId="77777777" w:rsidR="00755DEF" w:rsidRPr="00C76FB3" w:rsidRDefault="00755DEF" w:rsidP="00CA070E">
      <w:pPr>
        <w:spacing w:line="360" w:lineRule="auto"/>
        <w:rPr>
          <w:lang w:val="en-US"/>
        </w:rPr>
      </w:pPr>
    </w:p>
    <w:p w14:paraId="6C0F4F68" w14:textId="4DE2E77C" w:rsidR="00CA070E" w:rsidRPr="00C76FB3" w:rsidRDefault="00CA070E" w:rsidP="00CA070E">
      <w:pPr>
        <w:spacing w:line="360" w:lineRule="auto"/>
        <w:rPr>
          <w:b/>
          <w:bCs/>
          <w:lang w:val="en-US"/>
        </w:rPr>
      </w:pPr>
      <w:r w:rsidRPr="004756F6">
        <w:rPr>
          <w:b/>
          <w:bCs/>
          <w:i/>
          <w:lang w:val="en-US"/>
        </w:rPr>
        <w:t>Key</w:t>
      </w:r>
      <w:r w:rsidR="007F0F64" w:rsidRPr="004756F6">
        <w:rPr>
          <w:b/>
          <w:bCs/>
          <w:i/>
          <w:lang w:val="en-US"/>
        </w:rPr>
        <w:t>w</w:t>
      </w:r>
      <w:r w:rsidRPr="004756F6">
        <w:rPr>
          <w:b/>
          <w:bCs/>
          <w:i/>
          <w:lang w:val="en-US"/>
        </w:rPr>
        <w:t>ords</w:t>
      </w:r>
      <w:r w:rsidRPr="00C76FB3">
        <w:rPr>
          <w:b/>
          <w:bCs/>
          <w:lang w:val="en-US"/>
        </w:rPr>
        <w:t>: Ethics, Trust, Expertise, Distrust, Vulnerability</w:t>
      </w:r>
      <w:r w:rsidR="0037488D" w:rsidRPr="00C76FB3">
        <w:rPr>
          <w:b/>
          <w:bCs/>
          <w:lang w:val="en-US"/>
        </w:rPr>
        <w:t>.</w:t>
      </w:r>
    </w:p>
    <w:p w14:paraId="496F58D8" w14:textId="77777777" w:rsidR="00CA070E" w:rsidRPr="00C76FB3" w:rsidRDefault="00CA070E" w:rsidP="0037643E">
      <w:pPr>
        <w:spacing w:line="360" w:lineRule="auto"/>
        <w:rPr>
          <w:lang w:val="en-US"/>
        </w:rPr>
      </w:pPr>
    </w:p>
    <w:p w14:paraId="029D859B" w14:textId="5502CADA" w:rsidR="00251612" w:rsidRPr="00C76FB3" w:rsidRDefault="00251612" w:rsidP="0037643E">
      <w:pPr>
        <w:spacing w:line="360" w:lineRule="auto"/>
        <w:rPr>
          <w:lang w:val="en-US"/>
        </w:rPr>
      </w:pPr>
    </w:p>
    <w:p w14:paraId="324FD944" w14:textId="3F11FCF8" w:rsidR="0037643E" w:rsidRPr="00C76FB3" w:rsidRDefault="00DC6FBE" w:rsidP="00DC6FBE">
      <w:pPr>
        <w:spacing w:line="360" w:lineRule="auto"/>
        <w:jc w:val="center"/>
        <w:rPr>
          <w:b/>
          <w:bCs/>
          <w:lang w:val="en-US"/>
        </w:rPr>
      </w:pPr>
      <w:r w:rsidRPr="00C76FB3">
        <w:rPr>
          <w:b/>
          <w:bCs/>
          <w:lang w:val="en-US"/>
        </w:rPr>
        <w:t>I</w:t>
      </w:r>
      <w:r w:rsidR="00A40E3F" w:rsidRPr="00C76FB3">
        <w:rPr>
          <w:b/>
          <w:bCs/>
          <w:lang w:val="en-US"/>
        </w:rPr>
        <w:t>ntroduction</w:t>
      </w:r>
    </w:p>
    <w:p w14:paraId="4AD40AFC" w14:textId="77777777" w:rsidR="00787CE7" w:rsidRPr="00C76FB3" w:rsidRDefault="00787CE7" w:rsidP="00DC6FBE">
      <w:pPr>
        <w:spacing w:line="360" w:lineRule="auto"/>
        <w:jc w:val="center"/>
        <w:rPr>
          <w:b/>
          <w:bCs/>
          <w:lang w:val="en-US"/>
        </w:rPr>
      </w:pPr>
    </w:p>
    <w:p w14:paraId="037A8539" w14:textId="48C4A604" w:rsidR="008012DB" w:rsidRPr="00C76FB3" w:rsidRDefault="008012DB" w:rsidP="004756F6">
      <w:pPr>
        <w:spacing w:line="360" w:lineRule="auto"/>
        <w:ind w:firstLine="720"/>
      </w:pPr>
      <w:r w:rsidRPr="00C76FB3">
        <w:rPr>
          <w:lang w:val="en-US"/>
        </w:rPr>
        <w:t>Experts and expertise,</w:t>
      </w:r>
      <w:r w:rsidR="00A40E3F" w:rsidRPr="00C76FB3">
        <w:rPr>
          <w:lang w:val="en-US"/>
        </w:rPr>
        <w:t xml:space="preserve"> </w:t>
      </w:r>
      <w:r w:rsidRPr="00C76FB3">
        <w:rPr>
          <w:lang w:val="en-US"/>
        </w:rPr>
        <w:t>their role</w:t>
      </w:r>
      <w:r w:rsidR="00A40E3F" w:rsidRPr="00C76FB3">
        <w:rPr>
          <w:lang w:val="en-US"/>
        </w:rPr>
        <w:t>s</w:t>
      </w:r>
      <w:r w:rsidRPr="00C76FB3">
        <w:rPr>
          <w:lang w:val="en-US"/>
        </w:rPr>
        <w:t xml:space="preserve"> and scope, have come under a </w:t>
      </w:r>
      <w:r w:rsidR="00A40E3F" w:rsidRPr="00C76FB3">
        <w:rPr>
          <w:lang w:val="en-US"/>
        </w:rPr>
        <w:t>significant</w:t>
      </w:r>
      <w:r w:rsidRPr="00C76FB3">
        <w:rPr>
          <w:lang w:val="en-US"/>
        </w:rPr>
        <w:t xml:space="preserve"> academic and political scrutiny. </w:t>
      </w:r>
      <w:r w:rsidRPr="00C76FB3">
        <w:t>In our daily lives</w:t>
      </w:r>
      <w:r w:rsidR="00A40E3F" w:rsidRPr="00C76FB3">
        <w:t>,</w:t>
      </w:r>
      <w:r w:rsidRPr="00C76FB3">
        <w:t xml:space="preserve"> we routinely depend on various , their skills</w:t>
      </w:r>
      <w:r w:rsidR="00A40E3F" w:rsidRPr="00C76FB3">
        <w:t>,</w:t>
      </w:r>
      <w:r w:rsidRPr="00C76FB3">
        <w:t xml:space="preserve"> and their advice. From matters of health to technology, weather forecasts to air</w:t>
      </w:r>
      <w:r w:rsidR="00A40E3F" w:rsidRPr="00C76FB3">
        <w:t xml:space="preserve"> </w:t>
      </w:r>
      <w:r w:rsidRPr="00C76FB3">
        <w:t xml:space="preserve">travel, </w:t>
      </w:r>
      <w:r w:rsidR="00A40E3F" w:rsidRPr="00C76FB3">
        <w:t xml:space="preserve">and </w:t>
      </w:r>
      <w:r w:rsidRPr="00C76FB3">
        <w:t xml:space="preserve">even in mundane matters of dealing with blocked drainpipes or broken washing machines, experts </w:t>
      </w:r>
      <w:r w:rsidR="00A40E3F" w:rsidRPr="00C76FB3">
        <w:t xml:space="preserve">play </w:t>
      </w:r>
      <w:r w:rsidRPr="00C76FB3">
        <w:t xml:space="preserve">a ubiquitous role in our lives and guide our choices. Experts and our reliance on them </w:t>
      </w:r>
      <w:r w:rsidR="007F0F64" w:rsidRPr="00C76FB3">
        <w:t xml:space="preserve">gain </w:t>
      </w:r>
      <w:r w:rsidRPr="00C76FB3">
        <w:t xml:space="preserve">political </w:t>
      </w:r>
      <w:r w:rsidR="007F0F64" w:rsidRPr="00C76FB3">
        <w:t xml:space="preserve">significance </w:t>
      </w:r>
      <w:r w:rsidRPr="00C76FB3">
        <w:t>when the</w:t>
      </w:r>
      <w:r w:rsidR="007F0F64" w:rsidRPr="00C76FB3">
        <w:t>y begin to occupy a significant role in</w:t>
      </w:r>
      <w:r w:rsidRPr="00C76FB3">
        <w:t xml:space="preserve"> policy formation and implementation. </w:t>
      </w:r>
    </w:p>
    <w:p w14:paraId="0E55837F" w14:textId="77777777" w:rsidR="008012DB" w:rsidRPr="00C76FB3" w:rsidRDefault="008012DB" w:rsidP="008012DB">
      <w:pPr>
        <w:spacing w:line="360" w:lineRule="auto"/>
      </w:pPr>
    </w:p>
    <w:p w14:paraId="22436E96" w14:textId="54B09C7B" w:rsidR="00744AB7" w:rsidRPr="00C76FB3" w:rsidRDefault="00755DEF" w:rsidP="008012DB">
      <w:pPr>
        <w:spacing w:line="360" w:lineRule="auto"/>
        <w:rPr>
          <w:lang w:val="en-US"/>
        </w:rPr>
      </w:pPr>
      <w:r w:rsidRPr="00C76FB3">
        <w:rPr>
          <w:lang w:val="en-US"/>
        </w:rPr>
        <w:t>R</w:t>
      </w:r>
      <w:r w:rsidR="008012DB" w:rsidRPr="00C76FB3">
        <w:rPr>
          <w:lang w:val="en-US"/>
        </w:rPr>
        <w:t>ecent years have seen a sharp turn toward populist politics</w:t>
      </w:r>
      <w:r w:rsidR="000A1351" w:rsidRPr="00C76FB3">
        <w:rPr>
          <w:lang w:val="en-US"/>
        </w:rPr>
        <w:t>,</w:t>
      </w:r>
      <w:r w:rsidR="008012DB" w:rsidRPr="00C76FB3">
        <w:rPr>
          <w:lang w:val="en-US"/>
        </w:rPr>
        <w:t xml:space="preserve"> with leaders claiming to represent the univocal "will of the people" and to stand against </w:t>
      </w:r>
      <w:r w:rsidR="007F0F64" w:rsidRPr="00C76FB3">
        <w:rPr>
          <w:lang w:val="en-US"/>
        </w:rPr>
        <w:t xml:space="preserve">the </w:t>
      </w:r>
      <w:r w:rsidR="008012DB" w:rsidRPr="00C76FB3">
        <w:rPr>
          <w:lang w:val="en-US"/>
        </w:rPr>
        <w:t>"liberal elite</w:t>
      </w:r>
      <w:r w:rsidR="007F0F64" w:rsidRPr="00C76FB3">
        <w:rPr>
          <w:lang w:val="en-US"/>
        </w:rPr>
        <w:t>s</w:t>
      </w:r>
      <w:r w:rsidR="008012DB" w:rsidRPr="00C76FB3">
        <w:rPr>
          <w:lang w:val="en-US"/>
        </w:rPr>
        <w:t>" and the privileged</w:t>
      </w:r>
      <w:r w:rsidR="000A1351" w:rsidRPr="00C76FB3">
        <w:rPr>
          <w:lang w:val="en-US"/>
        </w:rPr>
        <w:t>.</w:t>
      </w:r>
      <w:r w:rsidR="008012DB" w:rsidRPr="00C76FB3">
        <w:rPr>
          <w:lang w:val="en-US"/>
        </w:rPr>
        <w:t xml:space="preserve"> </w:t>
      </w:r>
      <w:r w:rsidR="000A1351" w:rsidRPr="00C76FB3">
        <w:rPr>
          <w:lang w:val="en-US"/>
        </w:rPr>
        <w:t>C</w:t>
      </w:r>
      <w:r w:rsidR="008012DB" w:rsidRPr="00C76FB3">
        <w:rPr>
          <w:lang w:val="en-US"/>
        </w:rPr>
        <w:t>osmopolitan</w:t>
      </w:r>
      <w:r w:rsidR="000A1351" w:rsidRPr="00C76FB3">
        <w:rPr>
          <w:lang w:val="en-US"/>
        </w:rPr>
        <w:t>.</w:t>
      </w:r>
      <w:r w:rsidR="008012DB" w:rsidRPr="00C76FB3">
        <w:rPr>
          <w:lang w:val="en-US"/>
        </w:rPr>
        <w:t xml:space="preserve"> educated classes (e.g. </w:t>
      </w:r>
      <w:proofErr w:type="spellStart"/>
      <w:r w:rsidR="008012DB" w:rsidRPr="00C76FB3">
        <w:rPr>
          <w:lang w:val="en-US"/>
        </w:rPr>
        <w:t>Canovan</w:t>
      </w:r>
      <w:proofErr w:type="spellEnd"/>
      <w:r w:rsidR="000A3707" w:rsidRPr="00C76FB3">
        <w:rPr>
          <w:lang w:val="en-US"/>
        </w:rPr>
        <w:t>,</w:t>
      </w:r>
      <w:r w:rsidR="008012DB" w:rsidRPr="00C76FB3">
        <w:rPr>
          <w:lang w:val="en-US"/>
        </w:rPr>
        <w:t xml:space="preserve"> 1999). This anti-elitist rhetoric has put the scientific advisory process under serious stress (OECD</w:t>
      </w:r>
      <w:r w:rsidR="000A3707" w:rsidRPr="00C76FB3">
        <w:rPr>
          <w:lang w:val="en-US"/>
        </w:rPr>
        <w:t>,</w:t>
      </w:r>
      <w:r w:rsidR="008012DB" w:rsidRPr="00C76FB3">
        <w:rPr>
          <w:lang w:val="en-US"/>
        </w:rPr>
        <w:t xml:space="preserve"> 2015). Policy advice on health and environmental issues has proven particularly controversial and led to partisan </w:t>
      </w:r>
      <w:r w:rsidR="008012DB" w:rsidRPr="00C76FB3">
        <w:rPr>
          <w:lang w:val="en-US"/>
        </w:rPr>
        <w:lastRenderedPageBreak/>
        <w:t>political debates and confrontations across the world. While headline figures in surveys on trust in scientific expertise do not indicate a</w:t>
      </w:r>
      <w:r w:rsidRPr="00C76FB3">
        <w:rPr>
          <w:lang w:val="en-US"/>
        </w:rPr>
        <w:t xml:space="preserve"> </w:t>
      </w:r>
      <w:r w:rsidR="008012DB" w:rsidRPr="00C76FB3">
        <w:rPr>
          <w:lang w:val="en-US"/>
        </w:rPr>
        <w:t>drop in trust levels—unlike trust in politicians and the media—the public discourse around expertise has noticeably changed</w:t>
      </w:r>
      <w:r w:rsidR="000A1351" w:rsidRPr="00C76FB3">
        <w:rPr>
          <w:lang w:val="en-US"/>
        </w:rPr>
        <w:t>,</w:t>
      </w:r>
      <w:r w:rsidR="008012DB" w:rsidRPr="00C76FB3">
        <w:rPr>
          <w:lang w:val="en-US"/>
        </w:rPr>
        <w:t xml:space="preserve"> and there is evidence of a breakdown of trust in specific policy areas such as vaccination and climate change (</w:t>
      </w:r>
      <w:r w:rsidR="005F4AE8" w:rsidRPr="00C76FB3">
        <w:rPr>
          <w:lang w:val="en-US"/>
        </w:rPr>
        <w:t xml:space="preserve">Kelsall </w:t>
      </w:r>
      <w:r w:rsidR="000A3707" w:rsidRPr="00C76FB3">
        <w:rPr>
          <w:lang w:val="en-US"/>
        </w:rPr>
        <w:t xml:space="preserve">&amp; </w:t>
      </w:r>
      <w:proofErr w:type="spellStart"/>
      <w:r w:rsidR="005F4AE8" w:rsidRPr="00C76FB3">
        <w:rPr>
          <w:lang w:val="en-US"/>
        </w:rPr>
        <w:t>Sorell</w:t>
      </w:r>
      <w:proofErr w:type="spellEnd"/>
      <w:r w:rsidR="000A1351" w:rsidRPr="00C76FB3">
        <w:rPr>
          <w:lang w:val="en-US"/>
        </w:rPr>
        <w:t>,</w:t>
      </w:r>
      <w:r w:rsidR="005F4AE8" w:rsidRPr="00C76FB3">
        <w:rPr>
          <w:lang w:val="en-US"/>
        </w:rPr>
        <w:t xml:space="preserve"> 2024; </w:t>
      </w:r>
      <w:proofErr w:type="spellStart"/>
      <w:r w:rsidR="008012DB" w:rsidRPr="00C76FB3">
        <w:rPr>
          <w:lang w:val="en-US"/>
        </w:rPr>
        <w:t>Facciolà</w:t>
      </w:r>
      <w:proofErr w:type="spellEnd"/>
      <w:r w:rsidR="008012DB" w:rsidRPr="00C76FB3">
        <w:rPr>
          <w:lang w:val="en-US"/>
        </w:rPr>
        <w:t xml:space="preserve"> et al.</w:t>
      </w:r>
      <w:r w:rsidR="000A3707" w:rsidRPr="00C76FB3">
        <w:rPr>
          <w:lang w:val="en-US"/>
        </w:rPr>
        <w:t>,</w:t>
      </w:r>
      <w:r w:rsidR="008012DB" w:rsidRPr="00C76FB3">
        <w:rPr>
          <w:lang w:val="en-US"/>
        </w:rPr>
        <w:t xml:space="preserve"> 2019). </w:t>
      </w:r>
    </w:p>
    <w:p w14:paraId="7481C408" w14:textId="15B0282D" w:rsidR="00744AB7" w:rsidRPr="00C76FB3" w:rsidRDefault="00744AB7" w:rsidP="004756F6">
      <w:pPr>
        <w:spacing w:line="360" w:lineRule="auto"/>
        <w:ind w:firstLine="720"/>
        <w:rPr>
          <w:lang w:val="en-US"/>
        </w:rPr>
      </w:pPr>
      <w:r w:rsidRPr="00C76FB3">
        <w:rPr>
          <w:lang w:val="en-US"/>
        </w:rPr>
        <w:t xml:space="preserve">The role of experts in policy decisions and the question of trust that the </w:t>
      </w:r>
      <w:proofErr w:type="gramStart"/>
      <w:r w:rsidRPr="00C76FB3">
        <w:rPr>
          <w:lang w:val="en-US"/>
        </w:rPr>
        <w:t>general pub</w:t>
      </w:r>
      <w:r w:rsidR="00723F05" w:rsidRPr="00C76FB3">
        <w:rPr>
          <w:lang w:val="en-US"/>
        </w:rPr>
        <w:t>l</w:t>
      </w:r>
      <w:r w:rsidRPr="00C76FB3">
        <w:rPr>
          <w:lang w:val="en-US"/>
        </w:rPr>
        <w:t>ic</w:t>
      </w:r>
      <w:proofErr w:type="gramEnd"/>
      <w:r w:rsidRPr="00C76FB3">
        <w:rPr>
          <w:lang w:val="en-US"/>
        </w:rPr>
        <w:t xml:space="preserve"> is to place o</w:t>
      </w:r>
      <w:r w:rsidR="00723F05" w:rsidRPr="00C76FB3">
        <w:rPr>
          <w:lang w:val="en-US"/>
        </w:rPr>
        <w:t>n</w:t>
      </w:r>
      <w:r w:rsidRPr="00C76FB3">
        <w:rPr>
          <w:lang w:val="en-US"/>
        </w:rPr>
        <w:t xml:space="preserve"> them have far reaching ethical consequences. The current paper is an attempt to highlight some key points of the </w:t>
      </w:r>
      <w:r w:rsidR="00723F05" w:rsidRPr="00C76FB3">
        <w:rPr>
          <w:lang w:val="en-US"/>
        </w:rPr>
        <w:t>requirements</w:t>
      </w:r>
      <w:r w:rsidRPr="00C76FB3">
        <w:rPr>
          <w:lang w:val="en-US"/>
        </w:rPr>
        <w:t xml:space="preserve"> of trust in experts and their ethical implications.</w:t>
      </w:r>
      <w:r w:rsidR="00CA4407">
        <w:rPr>
          <w:rStyle w:val="FootnoteReference"/>
          <w:lang w:val="en-US"/>
        </w:rPr>
        <w:footnoteReference w:id="1"/>
      </w:r>
      <w:r w:rsidRPr="00C76FB3">
        <w:rPr>
          <w:lang w:val="en-US"/>
        </w:rPr>
        <w:t xml:space="preserve"> </w:t>
      </w:r>
    </w:p>
    <w:p w14:paraId="0095726E" w14:textId="77777777" w:rsidR="00744AB7" w:rsidRPr="00C76FB3" w:rsidRDefault="00744AB7" w:rsidP="008012DB">
      <w:pPr>
        <w:spacing w:line="360" w:lineRule="auto"/>
        <w:rPr>
          <w:lang w:val="en-US"/>
        </w:rPr>
      </w:pPr>
    </w:p>
    <w:p w14:paraId="0CD6AC82" w14:textId="77777777" w:rsidR="008012DB" w:rsidRPr="004756F6" w:rsidRDefault="008012DB" w:rsidP="008012DB">
      <w:pPr>
        <w:pStyle w:val="ListParagraph"/>
        <w:spacing w:line="360" w:lineRule="auto"/>
        <w:ind w:left="0" w:right="89"/>
        <w:rPr>
          <w:rFonts w:ascii="Times New Roman" w:hAnsi="Times New Roman" w:cs="Times New Roman"/>
          <w:b/>
          <w:bCs/>
          <w:color w:val="000000" w:themeColor="text1"/>
          <w:lang w:val="en-US"/>
        </w:rPr>
      </w:pPr>
    </w:p>
    <w:p w14:paraId="22A4B32C" w14:textId="5A66023A" w:rsidR="008012DB" w:rsidRPr="004756F6" w:rsidRDefault="001B479F" w:rsidP="008012DB">
      <w:pPr>
        <w:pStyle w:val="ListParagraph"/>
        <w:spacing w:line="360" w:lineRule="auto"/>
        <w:ind w:left="0" w:right="89"/>
        <w:rPr>
          <w:rFonts w:ascii="Times New Roman" w:hAnsi="Times New Roman" w:cs="Times New Roman"/>
          <w:b/>
          <w:bCs/>
          <w:color w:val="000000" w:themeColor="text1"/>
          <w:lang w:val="en-US"/>
        </w:rPr>
      </w:pPr>
      <w:r w:rsidRPr="004756F6">
        <w:rPr>
          <w:rFonts w:ascii="Times New Roman" w:hAnsi="Times New Roman" w:cs="Times New Roman"/>
          <w:b/>
          <w:bCs/>
          <w:color w:val="000000" w:themeColor="text1"/>
          <w:lang w:val="en-US"/>
        </w:rPr>
        <w:t xml:space="preserve">Section </w:t>
      </w:r>
      <w:r w:rsidR="007876D7" w:rsidRPr="004756F6">
        <w:rPr>
          <w:rFonts w:ascii="Times New Roman" w:hAnsi="Times New Roman" w:cs="Times New Roman"/>
          <w:b/>
          <w:bCs/>
          <w:color w:val="000000" w:themeColor="text1"/>
          <w:lang w:val="en-US"/>
        </w:rPr>
        <w:t>I</w:t>
      </w:r>
      <w:r w:rsidRPr="004756F6">
        <w:rPr>
          <w:rFonts w:ascii="Times New Roman" w:hAnsi="Times New Roman" w:cs="Times New Roman"/>
          <w:b/>
          <w:bCs/>
          <w:color w:val="000000" w:themeColor="text1"/>
          <w:lang w:val="en-US"/>
        </w:rPr>
        <w:t>:</w:t>
      </w:r>
      <w:r w:rsidR="00B577B3" w:rsidRPr="004756F6">
        <w:rPr>
          <w:rFonts w:ascii="Times New Roman" w:hAnsi="Times New Roman" w:cs="Times New Roman"/>
          <w:b/>
          <w:bCs/>
          <w:color w:val="000000" w:themeColor="text1"/>
          <w:lang w:val="en-US"/>
        </w:rPr>
        <w:t xml:space="preserve"> </w:t>
      </w:r>
      <w:r w:rsidR="008012DB" w:rsidRPr="004756F6">
        <w:rPr>
          <w:rFonts w:ascii="Times New Roman" w:hAnsi="Times New Roman" w:cs="Times New Roman"/>
          <w:b/>
          <w:bCs/>
          <w:color w:val="000000" w:themeColor="text1"/>
          <w:lang w:val="en-US"/>
        </w:rPr>
        <w:t>M</w:t>
      </w:r>
      <w:r w:rsidRPr="004756F6">
        <w:rPr>
          <w:rFonts w:ascii="Times New Roman" w:hAnsi="Times New Roman" w:cs="Times New Roman"/>
          <w:b/>
          <w:bCs/>
          <w:color w:val="000000" w:themeColor="text1"/>
          <w:lang w:val="en-US"/>
        </w:rPr>
        <w:t>apping Trust</w:t>
      </w:r>
    </w:p>
    <w:p w14:paraId="03A9559E" w14:textId="77777777" w:rsidR="00887227" w:rsidRPr="00C76FB3" w:rsidRDefault="00887227" w:rsidP="00887227">
      <w:pPr>
        <w:spacing w:line="360" w:lineRule="auto"/>
        <w:ind w:right="89"/>
        <w:rPr>
          <w:color w:val="000000" w:themeColor="text1"/>
          <w:lang w:val="en-US"/>
        </w:rPr>
      </w:pPr>
    </w:p>
    <w:p w14:paraId="6454B864" w14:textId="6CCB47E8" w:rsidR="00887227" w:rsidRPr="00C76FB3" w:rsidRDefault="008012DB" w:rsidP="004756F6">
      <w:pPr>
        <w:spacing w:line="360" w:lineRule="auto"/>
        <w:ind w:right="89" w:firstLine="567"/>
        <w:rPr>
          <w:color w:val="000000" w:themeColor="text1"/>
        </w:rPr>
      </w:pPr>
      <w:r w:rsidRPr="00C76FB3">
        <w:rPr>
          <w:color w:val="000000" w:themeColor="text1"/>
          <w:lang w:val="en-US"/>
        </w:rPr>
        <w:t>Epistemic dependence on experts is bound up with the question of trust. The peculiar form of trust at stake in discussing the relationship between experts and non-experts is epistemic trust or trust that applies to agents’ beliefs and the reasons provided for their beliefs, rather than their actions (Hardwig</w:t>
      </w:r>
      <w:r w:rsidR="000A3707" w:rsidRPr="00C76FB3">
        <w:rPr>
          <w:color w:val="000000" w:themeColor="text1"/>
          <w:lang w:val="en-US"/>
        </w:rPr>
        <w:t>,</w:t>
      </w:r>
      <w:r w:rsidRPr="00C76FB3">
        <w:rPr>
          <w:color w:val="000000" w:themeColor="text1"/>
          <w:lang w:val="en-US"/>
        </w:rPr>
        <w:t xml:space="preserve"> 1991</w:t>
      </w:r>
      <w:r w:rsidR="000A3707" w:rsidRPr="00C76FB3">
        <w:rPr>
          <w:color w:val="000000" w:themeColor="text1"/>
          <w:lang w:val="en-US"/>
        </w:rPr>
        <w:t>, p.</w:t>
      </w:r>
      <w:r w:rsidRPr="00C76FB3">
        <w:rPr>
          <w:color w:val="000000" w:themeColor="text1"/>
          <w:lang w:val="en-US"/>
        </w:rPr>
        <w:t xml:space="preserve"> 697). </w:t>
      </w:r>
      <w:r w:rsidRPr="00C76FB3">
        <w:rPr>
          <w:color w:val="000000" w:themeColor="text1"/>
        </w:rPr>
        <w:t>Epistemic trust in general, and trust in experts in particular, often take the form of testimonial trust, i.e. trusting what the experts tell non-experts</w:t>
      </w:r>
      <w:r w:rsidR="00A2565B">
        <w:rPr>
          <w:color w:val="000000" w:themeColor="text1"/>
        </w:rPr>
        <w:t>,</w:t>
      </w:r>
      <w:r w:rsidRPr="00C76FB3">
        <w:rPr>
          <w:color w:val="000000" w:themeColor="text1"/>
        </w:rPr>
        <w:t xml:space="preserve"> as well as the policies that are based on these recommendations. In this section, we inquire into the nature of the trust-attitude that non-experts should have toward experts.</w:t>
      </w:r>
    </w:p>
    <w:p w14:paraId="288635D9" w14:textId="53C8AD69" w:rsidR="008012DB" w:rsidRPr="00C76FB3" w:rsidRDefault="007F0F64" w:rsidP="00F914B5">
      <w:pPr>
        <w:spacing w:line="360" w:lineRule="auto"/>
        <w:ind w:firstLine="567"/>
        <w:rPr>
          <w:lang w:val="en-US"/>
        </w:rPr>
      </w:pPr>
      <w:r w:rsidRPr="00C76FB3">
        <w:rPr>
          <w:lang w:val="en-US"/>
        </w:rPr>
        <w:t xml:space="preserve">We </w:t>
      </w:r>
      <w:r w:rsidR="00887227" w:rsidRPr="00C76FB3">
        <w:rPr>
          <w:lang w:val="en-US"/>
        </w:rPr>
        <w:t xml:space="preserve">begin by considering some definitions of epistemic trust. </w:t>
      </w:r>
      <w:r w:rsidR="00413FEF" w:rsidRPr="00C76FB3">
        <w:rPr>
          <w:lang w:val="en-US"/>
        </w:rPr>
        <w:t xml:space="preserve">Section </w:t>
      </w:r>
      <w:r w:rsidR="00887227" w:rsidRPr="00C76FB3">
        <w:rPr>
          <w:lang w:val="en-US"/>
        </w:rPr>
        <w:t>I</w:t>
      </w:r>
      <w:r w:rsidR="00744AB7" w:rsidRPr="00C76FB3">
        <w:rPr>
          <w:lang w:val="en-US"/>
        </w:rPr>
        <w:t>I</w:t>
      </w:r>
      <w:r w:rsidR="00887227" w:rsidRPr="00C76FB3">
        <w:rPr>
          <w:lang w:val="en-US"/>
        </w:rPr>
        <w:t xml:space="preserve"> provides a survey of the ethical features of trust; </w:t>
      </w:r>
      <w:r w:rsidR="00413FEF" w:rsidRPr="00C76FB3">
        <w:rPr>
          <w:lang w:val="en-US"/>
        </w:rPr>
        <w:t xml:space="preserve">Section </w:t>
      </w:r>
      <w:r w:rsidR="00744AB7" w:rsidRPr="00C76FB3">
        <w:rPr>
          <w:lang w:val="en-US"/>
        </w:rPr>
        <w:t>III</w:t>
      </w:r>
      <w:r w:rsidR="00887227" w:rsidRPr="00C76FB3">
        <w:rPr>
          <w:lang w:val="en-US"/>
        </w:rPr>
        <w:t xml:space="preserve"> investigates the role of distrust in the understanding of the ethical requirements of trust. </w:t>
      </w:r>
      <w:r w:rsidR="008012DB" w:rsidRPr="00C76FB3">
        <w:rPr>
          <w:color w:val="000000" w:themeColor="text1"/>
          <w:lang w:val="en-US"/>
        </w:rPr>
        <w:t>Three main families of views—predictive accounts, normative accounts, and combined accounts (</w:t>
      </w:r>
      <w:proofErr w:type="spellStart"/>
      <w:r w:rsidR="008012DB" w:rsidRPr="00C76FB3">
        <w:rPr>
          <w:color w:val="000000" w:themeColor="text1"/>
          <w:lang w:val="en-US"/>
        </w:rPr>
        <w:t>Dormandy</w:t>
      </w:r>
      <w:proofErr w:type="spellEnd"/>
      <w:r w:rsidR="00C96CC2" w:rsidRPr="00C76FB3">
        <w:rPr>
          <w:color w:val="000000" w:themeColor="text1"/>
          <w:lang w:val="en-US"/>
        </w:rPr>
        <w:t>,</w:t>
      </w:r>
      <w:r w:rsidR="008012DB" w:rsidRPr="00C76FB3">
        <w:rPr>
          <w:color w:val="000000" w:themeColor="text1"/>
          <w:lang w:val="en-US"/>
        </w:rPr>
        <w:t xml:space="preserve"> 2020)—dominate current discussions of the philosophy of trust. Predictive accounts argue that to trust someone amounts to forming a positive expectation—if not a belief—that they will behave as agreed or required by the situation (Hardin</w:t>
      </w:r>
      <w:r w:rsidR="00C96CC2" w:rsidRPr="00C76FB3">
        <w:rPr>
          <w:color w:val="000000" w:themeColor="text1"/>
          <w:lang w:val="en-US"/>
        </w:rPr>
        <w:t>,</w:t>
      </w:r>
      <w:r w:rsidR="008012DB" w:rsidRPr="00C76FB3">
        <w:rPr>
          <w:color w:val="000000" w:themeColor="text1"/>
          <w:lang w:val="en-US"/>
        </w:rPr>
        <w:t xml:space="preserve"> 1993). Normative accounts, by contrast, argue that to </w:t>
      </w:r>
      <w:r w:rsidR="008012DB" w:rsidRPr="00C76FB3">
        <w:rPr>
          <w:color w:val="000000" w:themeColor="text1"/>
          <w:lang w:val="en-US"/>
        </w:rPr>
        <w:lastRenderedPageBreak/>
        <w:t>trust someone involves</w:t>
      </w:r>
      <w:r w:rsidR="001E5279" w:rsidRPr="00C76FB3">
        <w:rPr>
          <w:color w:val="000000" w:themeColor="text1"/>
          <w:lang w:val="en-US"/>
        </w:rPr>
        <w:t xml:space="preserve"> not just a prediction, but</w:t>
      </w:r>
      <w:r w:rsidR="008012DB" w:rsidRPr="00C76FB3">
        <w:rPr>
          <w:color w:val="000000" w:themeColor="text1"/>
          <w:lang w:val="en-US"/>
        </w:rPr>
        <w:t xml:space="preserve"> </w:t>
      </w:r>
      <w:r w:rsidR="001E5279" w:rsidRPr="00C76FB3">
        <w:rPr>
          <w:color w:val="000000" w:themeColor="text1"/>
          <w:lang w:val="en-US"/>
        </w:rPr>
        <w:t xml:space="preserve">a normative demand </w:t>
      </w:r>
      <w:r w:rsidR="008012DB" w:rsidRPr="00C76FB3">
        <w:rPr>
          <w:color w:val="000000" w:themeColor="text1"/>
          <w:lang w:val="en-US"/>
        </w:rPr>
        <w:t>about how the trustee ought to behave (Holton</w:t>
      </w:r>
      <w:r w:rsidR="00A2565B">
        <w:rPr>
          <w:color w:val="000000" w:themeColor="text1"/>
          <w:lang w:val="en-US"/>
        </w:rPr>
        <w:t>,</w:t>
      </w:r>
      <w:r w:rsidR="008012DB" w:rsidRPr="00C76FB3">
        <w:rPr>
          <w:color w:val="000000" w:themeColor="text1"/>
          <w:lang w:val="en-US"/>
        </w:rPr>
        <w:t xml:space="preserve"> 1994; Jones</w:t>
      </w:r>
      <w:r w:rsidR="00A2565B">
        <w:rPr>
          <w:color w:val="000000" w:themeColor="text1"/>
          <w:lang w:val="en-US"/>
        </w:rPr>
        <w:t>,</w:t>
      </w:r>
      <w:r w:rsidR="008012DB" w:rsidRPr="00C76FB3">
        <w:rPr>
          <w:color w:val="000000" w:themeColor="text1"/>
          <w:lang w:val="en-US"/>
        </w:rPr>
        <w:t xml:space="preserve"> 1996; Faulkner</w:t>
      </w:r>
      <w:r w:rsidR="00A2565B">
        <w:rPr>
          <w:color w:val="000000" w:themeColor="text1"/>
          <w:lang w:val="en-US"/>
        </w:rPr>
        <w:t>,</w:t>
      </w:r>
      <w:r w:rsidR="008012DB" w:rsidRPr="00C76FB3">
        <w:rPr>
          <w:color w:val="000000" w:themeColor="text1"/>
          <w:lang w:val="en-US"/>
        </w:rPr>
        <w:t xml:space="preserve"> 2007; Darwall</w:t>
      </w:r>
      <w:r w:rsidR="00A2565B">
        <w:rPr>
          <w:color w:val="000000" w:themeColor="text1"/>
          <w:lang w:val="en-US"/>
        </w:rPr>
        <w:t>,</w:t>
      </w:r>
      <w:r w:rsidR="008012DB" w:rsidRPr="00C76FB3">
        <w:rPr>
          <w:color w:val="000000" w:themeColor="text1"/>
          <w:lang w:val="en-US"/>
        </w:rPr>
        <w:t xml:space="preserve"> 2017). A weak version of this view concedes that one can trust another while suspending judgment about the likelihood that they will behave as expected, </w:t>
      </w:r>
      <w:r w:rsidR="00723F05" w:rsidRPr="00C76FB3">
        <w:rPr>
          <w:color w:val="000000" w:themeColor="text1"/>
          <w:lang w:val="en-US"/>
        </w:rPr>
        <w:t>but</w:t>
      </w:r>
      <w:r w:rsidR="008012DB" w:rsidRPr="00C76FB3">
        <w:rPr>
          <w:color w:val="000000" w:themeColor="text1"/>
          <w:lang w:val="en-US"/>
        </w:rPr>
        <w:t xml:space="preserve"> not that one can have negative expectations toward the trustee (e.g., Holton</w:t>
      </w:r>
      <w:r w:rsidR="00A2565B">
        <w:rPr>
          <w:color w:val="000000" w:themeColor="text1"/>
          <w:lang w:val="en-US"/>
        </w:rPr>
        <w:t>,</w:t>
      </w:r>
      <w:r w:rsidR="008012DB" w:rsidRPr="00C76FB3">
        <w:rPr>
          <w:color w:val="000000" w:themeColor="text1"/>
          <w:lang w:val="en-US"/>
        </w:rPr>
        <w:t xml:space="preserve"> 1994). In contrast, the strong version of the normative account is compatible with negative predictive expectations, in that all it takes for one to trust another is to place normative expectations on their behavior (Jones</w:t>
      </w:r>
      <w:r w:rsidR="00C96CC2" w:rsidRPr="00C76FB3">
        <w:rPr>
          <w:color w:val="000000" w:themeColor="text1"/>
          <w:lang w:val="en-US"/>
        </w:rPr>
        <w:t>,</w:t>
      </w:r>
      <w:r w:rsidR="008012DB" w:rsidRPr="00C76FB3">
        <w:rPr>
          <w:color w:val="000000" w:themeColor="text1"/>
          <w:lang w:val="en-US"/>
        </w:rPr>
        <w:t xml:space="preserve"> 2004).</w:t>
      </w:r>
    </w:p>
    <w:p w14:paraId="3FCC9807" w14:textId="38265242" w:rsidR="008012DB" w:rsidRPr="00C76FB3" w:rsidRDefault="008012DB" w:rsidP="008012DB">
      <w:pPr>
        <w:spacing w:line="360" w:lineRule="auto"/>
        <w:ind w:right="89" w:firstLine="567"/>
        <w:rPr>
          <w:color w:val="000000" w:themeColor="text1"/>
          <w:lang w:val="en-US"/>
        </w:rPr>
      </w:pPr>
      <w:r w:rsidRPr="00C76FB3">
        <w:rPr>
          <w:color w:val="000000" w:themeColor="text1"/>
          <w:lang w:val="en-US"/>
        </w:rPr>
        <w:t>We will return to the normative accounts of trust in our discussion of the ethics of trust</w:t>
      </w:r>
      <w:r w:rsidR="004101E0" w:rsidRPr="00C76FB3">
        <w:rPr>
          <w:color w:val="000000" w:themeColor="text1"/>
          <w:lang w:val="en-US"/>
        </w:rPr>
        <w:t xml:space="preserve"> in</w:t>
      </w:r>
      <w:r w:rsidRPr="00C76FB3">
        <w:rPr>
          <w:color w:val="000000" w:themeColor="text1"/>
          <w:lang w:val="en-US"/>
        </w:rPr>
        <w:t xml:space="preserve"> </w:t>
      </w:r>
      <w:r w:rsidR="00156C17">
        <w:rPr>
          <w:color w:val="000000" w:themeColor="text1"/>
          <w:lang w:val="en-US"/>
        </w:rPr>
        <w:t>Section</w:t>
      </w:r>
      <w:r w:rsidR="00156C17" w:rsidRPr="00C76FB3">
        <w:rPr>
          <w:color w:val="000000" w:themeColor="text1"/>
          <w:lang w:val="en-US"/>
        </w:rPr>
        <w:t xml:space="preserve"> </w:t>
      </w:r>
      <w:r w:rsidR="00744AB7" w:rsidRPr="00C76FB3">
        <w:rPr>
          <w:color w:val="000000" w:themeColor="text1"/>
          <w:lang w:val="en-US"/>
        </w:rPr>
        <w:t>II</w:t>
      </w:r>
      <w:r w:rsidRPr="00C76FB3">
        <w:rPr>
          <w:color w:val="000000" w:themeColor="text1"/>
          <w:lang w:val="en-US"/>
        </w:rPr>
        <w:t xml:space="preserve">, but on the face of it, when it comes to trust in experts in the policy domain, it looks as though a purely normative account is a non-starter, in that such accounts concede that one can trust another even when one believes that the trustee will not act as agreed or expected. We can make sense of this account in the context of a relationship, say, between parents and children, but it cannot apply to the domain of policy expertise, where no institution would request consultation from </w:t>
      </w:r>
      <w:proofErr w:type="gramStart"/>
      <w:r w:rsidRPr="00C76FB3">
        <w:rPr>
          <w:color w:val="000000" w:themeColor="text1"/>
          <w:lang w:val="en-US"/>
        </w:rPr>
        <w:t>someone</w:t>
      </w:r>
      <w:proofErr w:type="gramEnd"/>
      <w:r w:rsidRPr="00C76FB3">
        <w:rPr>
          <w:color w:val="000000" w:themeColor="text1"/>
          <w:lang w:val="en-US"/>
        </w:rPr>
        <w:t xml:space="preserve"> they consider unable or unwilling to deliver the requested outputs. To put it differently, there seems to be little room for </w:t>
      </w:r>
      <w:r w:rsidRPr="00C76FB3">
        <w:rPr>
          <w:i/>
          <w:iCs/>
          <w:color w:val="000000" w:themeColor="text1"/>
          <w:lang w:val="en-US"/>
        </w:rPr>
        <w:t>therapeutic trust</w:t>
      </w:r>
      <w:r w:rsidRPr="00C76FB3">
        <w:rPr>
          <w:color w:val="000000" w:themeColor="text1"/>
          <w:lang w:val="en-US"/>
        </w:rPr>
        <w:t xml:space="preserve"> in the context of expert advice and policymaking (Faulkner</w:t>
      </w:r>
      <w:r w:rsidR="00156C17">
        <w:rPr>
          <w:color w:val="000000" w:themeColor="text1"/>
          <w:lang w:val="en-US"/>
        </w:rPr>
        <w:t>,</w:t>
      </w:r>
      <w:r w:rsidRPr="00C76FB3">
        <w:rPr>
          <w:color w:val="000000" w:themeColor="text1"/>
          <w:lang w:val="en-US"/>
        </w:rPr>
        <w:t xml:space="preserve"> 2007; Nickel</w:t>
      </w:r>
      <w:r w:rsidR="00156C17">
        <w:rPr>
          <w:color w:val="000000" w:themeColor="text1"/>
          <w:lang w:val="en-US"/>
        </w:rPr>
        <w:t>,</w:t>
      </w:r>
      <w:r w:rsidRPr="00C76FB3">
        <w:rPr>
          <w:color w:val="000000" w:themeColor="text1"/>
          <w:lang w:val="en-US"/>
        </w:rPr>
        <w:t xml:space="preserve"> 2007).</w:t>
      </w:r>
    </w:p>
    <w:p w14:paraId="26F12859" w14:textId="264A08EC" w:rsidR="008012DB" w:rsidRPr="00C76FB3" w:rsidRDefault="008012DB" w:rsidP="008012DB">
      <w:pPr>
        <w:spacing w:line="360" w:lineRule="auto"/>
        <w:ind w:right="89" w:firstLine="567"/>
        <w:rPr>
          <w:color w:val="000000" w:themeColor="text1"/>
          <w:lang w:val="en-US"/>
        </w:rPr>
      </w:pPr>
      <w:r w:rsidRPr="00C76FB3">
        <w:rPr>
          <w:color w:val="000000" w:themeColor="text1"/>
          <w:lang w:val="en-US"/>
        </w:rPr>
        <w:t xml:space="preserve">The predictive account of trust fares better because it accommodates the intuitive idea that non-experts and institutions select experts to provide policy advice based on the </w:t>
      </w:r>
      <w:r w:rsidR="00394EAB" w:rsidRPr="00C76FB3">
        <w:rPr>
          <w:color w:val="000000" w:themeColor="text1"/>
          <w:lang w:val="en-US"/>
        </w:rPr>
        <w:t xml:space="preserve">experts’ </w:t>
      </w:r>
      <w:r w:rsidRPr="00C76FB3">
        <w:rPr>
          <w:color w:val="000000" w:themeColor="text1"/>
          <w:lang w:val="en-US"/>
        </w:rPr>
        <w:t>credentials</w:t>
      </w:r>
      <w:r w:rsidR="00394EAB" w:rsidRPr="00C76FB3">
        <w:rPr>
          <w:color w:val="000000" w:themeColor="text1"/>
          <w:lang w:val="en-US"/>
        </w:rPr>
        <w:t xml:space="preserve"> and</w:t>
      </w:r>
      <w:r w:rsidRPr="00C76FB3">
        <w:rPr>
          <w:color w:val="000000" w:themeColor="text1"/>
          <w:lang w:val="en-US"/>
        </w:rPr>
        <w:t xml:space="preserve"> a considered—and likely reliable—</w:t>
      </w:r>
      <w:r w:rsidR="00394EAB" w:rsidRPr="00C76FB3">
        <w:rPr>
          <w:color w:val="000000" w:themeColor="text1"/>
          <w:lang w:val="en-US"/>
        </w:rPr>
        <w:t xml:space="preserve">expectation </w:t>
      </w:r>
      <w:r w:rsidRPr="00C76FB3">
        <w:rPr>
          <w:color w:val="000000" w:themeColor="text1"/>
          <w:lang w:val="en-US"/>
        </w:rPr>
        <w:t xml:space="preserve">that such experts are able and willing to fulfil their function. Crucially, they predict that the experts will deliver the expected results. </w:t>
      </w:r>
      <w:r w:rsidRPr="00C76FB3">
        <w:rPr>
          <w:color w:val="000000" w:themeColor="text1"/>
        </w:rPr>
        <w:t>Predictive expectations take numerous forms, ranging from placing a high degree of confidence in the information provided, relying on the information provided, ascribing credibility to sources of information (including the person testifying) and having justified expectation of accuracy, usually cashed out in terms of truth. What these kinds of predictive expectations have in common is their epistemic goal—namely the production of epistemic goods such as knowledge, justified beliefs, understanding, and inquiry (Grasswick</w:t>
      </w:r>
      <w:r w:rsidR="00896189">
        <w:rPr>
          <w:color w:val="000000" w:themeColor="text1"/>
        </w:rPr>
        <w:t>,</w:t>
      </w:r>
      <w:r w:rsidRPr="00C76FB3">
        <w:rPr>
          <w:color w:val="000000" w:themeColor="text1"/>
        </w:rPr>
        <w:t xml:space="preserve"> 2020).</w:t>
      </w:r>
    </w:p>
    <w:p w14:paraId="0CA5B614" w14:textId="312E91A2" w:rsidR="008012DB" w:rsidRPr="00C76FB3" w:rsidRDefault="008012DB" w:rsidP="008012DB">
      <w:pPr>
        <w:spacing w:line="360" w:lineRule="auto"/>
        <w:ind w:right="89" w:firstLine="567"/>
        <w:rPr>
          <w:color w:val="000000" w:themeColor="text1"/>
          <w:lang w:val="en-US"/>
        </w:rPr>
      </w:pPr>
      <w:r w:rsidRPr="00C76FB3">
        <w:rPr>
          <w:color w:val="000000" w:themeColor="text1"/>
          <w:lang w:val="en-US"/>
        </w:rPr>
        <w:t>One reason we might want to go beyond a purely predictive view of trust, even in the policy domain, is that this view reduces trust to mere reliance (e.g., Goldberg</w:t>
      </w:r>
      <w:r w:rsidR="00896189">
        <w:rPr>
          <w:color w:val="000000" w:themeColor="text1"/>
          <w:lang w:val="en-US"/>
        </w:rPr>
        <w:t>,</w:t>
      </w:r>
      <w:r w:rsidRPr="00C76FB3">
        <w:rPr>
          <w:color w:val="000000" w:themeColor="text1"/>
          <w:lang w:val="en-US"/>
        </w:rPr>
        <w:t xml:space="preserve"> 2020), where the latter—unlike the former—requires no commitment on the part of the trustee to display an appropriate reaction to the trustor’s attitude. Yet, it could be argued that when non-experts and institutions put their trust in a policy advisor, they expect both that the trustee </w:t>
      </w:r>
      <w:r w:rsidRPr="00C76FB3">
        <w:rPr>
          <w:color w:val="000000" w:themeColor="text1"/>
          <w:lang w:val="en-US"/>
        </w:rPr>
        <w:lastRenderedPageBreak/>
        <w:t>will act as predicted and that the trustee will do so because of a normative stance that the trust</w:t>
      </w:r>
      <w:r w:rsidR="00AE6D73">
        <w:rPr>
          <w:color w:val="000000" w:themeColor="text1"/>
          <w:lang w:val="en-US"/>
        </w:rPr>
        <w:t xml:space="preserve"> </w:t>
      </w:r>
      <w:r w:rsidRPr="00C76FB3">
        <w:rPr>
          <w:color w:val="000000" w:themeColor="text1"/>
          <w:lang w:val="en-US"/>
        </w:rPr>
        <w:t xml:space="preserve">relationship creates. </w:t>
      </w:r>
    </w:p>
    <w:p w14:paraId="520B0E7B" w14:textId="1D191E62" w:rsidR="008012DB" w:rsidRPr="00C76FB3" w:rsidRDefault="008012DB" w:rsidP="003C1D50">
      <w:pPr>
        <w:spacing w:line="360" w:lineRule="auto"/>
        <w:ind w:right="89" w:firstLine="567"/>
        <w:rPr>
          <w:color w:val="000000" w:themeColor="text1"/>
        </w:rPr>
      </w:pPr>
      <w:r w:rsidRPr="00C76FB3">
        <w:rPr>
          <w:color w:val="000000" w:themeColor="text1"/>
          <w:lang w:val="en-US"/>
        </w:rPr>
        <w:t>This normative stance can be cashed out in various ways. Some regard it as an expectation of the trustee’s goodwill (Almassi</w:t>
      </w:r>
      <w:r w:rsidR="00896189">
        <w:rPr>
          <w:color w:val="000000" w:themeColor="text1"/>
          <w:lang w:val="en-US"/>
        </w:rPr>
        <w:t>,</w:t>
      </w:r>
      <w:r w:rsidRPr="00C76FB3">
        <w:rPr>
          <w:color w:val="000000" w:themeColor="text1"/>
          <w:lang w:val="en-US"/>
        </w:rPr>
        <w:t xml:space="preserve"> 2012; Baier</w:t>
      </w:r>
      <w:r w:rsidR="00896189">
        <w:rPr>
          <w:color w:val="000000" w:themeColor="text1"/>
          <w:lang w:val="en-US"/>
        </w:rPr>
        <w:t>,</w:t>
      </w:r>
      <w:r w:rsidRPr="00C76FB3">
        <w:rPr>
          <w:color w:val="000000" w:themeColor="text1"/>
          <w:lang w:val="en-US"/>
        </w:rPr>
        <w:t xml:space="preserve"> 1986; Cogley</w:t>
      </w:r>
      <w:r w:rsidR="00896189">
        <w:rPr>
          <w:color w:val="000000" w:themeColor="text1"/>
          <w:lang w:val="en-US"/>
        </w:rPr>
        <w:t>,</w:t>
      </w:r>
      <w:r w:rsidRPr="00C76FB3">
        <w:rPr>
          <w:color w:val="000000" w:themeColor="text1"/>
          <w:lang w:val="en-US"/>
        </w:rPr>
        <w:t xml:space="preserve"> 2012</w:t>
      </w:r>
      <w:r w:rsidR="00896189">
        <w:rPr>
          <w:color w:val="000000" w:themeColor="text1"/>
          <w:lang w:val="en-US"/>
        </w:rPr>
        <w:t>;</w:t>
      </w:r>
      <w:r w:rsidRPr="00C76FB3">
        <w:rPr>
          <w:color w:val="000000" w:themeColor="text1"/>
          <w:lang w:val="en-US"/>
        </w:rPr>
        <w:t xml:space="preserve"> Frost-Arnold</w:t>
      </w:r>
      <w:r w:rsidR="00896189">
        <w:rPr>
          <w:color w:val="000000" w:themeColor="text1"/>
          <w:lang w:val="en-US"/>
        </w:rPr>
        <w:t>,</w:t>
      </w:r>
      <w:r w:rsidRPr="00C76FB3">
        <w:rPr>
          <w:color w:val="000000" w:themeColor="text1"/>
          <w:lang w:val="en-US"/>
        </w:rPr>
        <w:t xml:space="preserve"> 2013; Wilholt</w:t>
      </w:r>
      <w:r w:rsidR="00896189">
        <w:rPr>
          <w:color w:val="000000" w:themeColor="text1"/>
          <w:lang w:val="en-US"/>
        </w:rPr>
        <w:t>,</w:t>
      </w:r>
      <w:r w:rsidRPr="00C76FB3">
        <w:rPr>
          <w:color w:val="000000" w:themeColor="text1"/>
          <w:lang w:val="en-US"/>
        </w:rPr>
        <w:t xml:space="preserve"> 2013); others</w:t>
      </w:r>
      <w:r w:rsidR="006238CC">
        <w:rPr>
          <w:color w:val="000000" w:themeColor="text1"/>
          <w:lang w:val="en-US"/>
        </w:rPr>
        <w:t>,</w:t>
      </w:r>
      <w:r w:rsidRPr="00C76FB3">
        <w:rPr>
          <w:color w:val="000000" w:themeColor="text1"/>
          <w:lang w:val="en-US"/>
        </w:rPr>
        <w:t xml:space="preserve"> as a participant stance according to which the trustor treats the trustee as a person who bears responsibility for their actions (Holton</w:t>
      </w:r>
      <w:r w:rsidR="00896189">
        <w:rPr>
          <w:color w:val="000000" w:themeColor="text1"/>
          <w:lang w:val="en-US"/>
        </w:rPr>
        <w:t>,</w:t>
      </w:r>
      <w:r w:rsidRPr="00C76FB3">
        <w:rPr>
          <w:color w:val="000000" w:themeColor="text1"/>
          <w:lang w:val="en-US"/>
        </w:rPr>
        <w:t xml:space="preserve"> 1994); </w:t>
      </w:r>
      <w:r w:rsidR="006238CC">
        <w:rPr>
          <w:color w:val="000000" w:themeColor="text1"/>
          <w:lang w:val="en-US"/>
        </w:rPr>
        <w:t xml:space="preserve">and still </w:t>
      </w:r>
      <w:r w:rsidRPr="00C76FB3">
        <w:rPr>
          <w:color w:val="000000" w:themeColor="text1"/>
          <w:lang w:val="en-US"/>
        </w:rPr>
        <w:t>others, as a mere responsiveness of the trustee to the fact that the trustor is counting on them to act as expected (Faulkner</w:t>
      </w:r>
      <w:r w:rsidR="00207B5D">
        <w:rPr>
          <w:color w:val="000000" w:themeColor="text1"/>
          <w:lang w:val="en-US"/>
        </w:rPr>
        <w:t>,</w:t>
      </w:r>
      <w:r w:rsidRPr="00C76FB3">
        <w:rPr>
          <w:color w:val="000000" w:themeColor="text1"/>
          <w:lang w:val="en-US"/>
        </w:rPr>
        <w:t xml:space="preserve"> 2017). Normative and affective expectations, unlike predictive ones, lead to feelings of betrayal and not just disappointment when trust is broken (Baier</w:t>
      </w:r>
      <w:r w:rsidR="00AE6D73">
        <w:rPr>
          <w:color w:val="000000" w:themeColor="text1"/>
          <w:lang w:val="en-US"/>
        </w:rPr>
        <w:t>,</w:t>
      </w:r>
      <w:r w:rsidRPr="00C76FB3">
        <w:rPr>
          <w:color w:val="000000" w:themeColor="text1"/>
          <w:lang w:val="en-US"/>
        </w:rPr>
        <w:t xml:space="preserve"> 1986</w:t>
      </w:r>
      <w:r w:rsidR="00AE6D73">
        <w:rPr>
          <w:color w:val="000000" w:themeColor="text1"/>
          <w:lang w:val="en-US"/>
        </w:rPr>
        <w:t>, p.</w:t>
      </w:r>
      <w:r w:rsidRPr="00C76FB3">
        <w:rPr>
          <w:color w:val="000000" w:themeColor="text1"/>
          <w:lang w:val="en-US"/>
        </w:rPr>
        <w:t>285). A plausible way to account for this normative dimension of a trust</w:t>
      </w:r>
      <w:r w:rsidR="00AE6D73">
        <w:rPr>
          <w:color w:val="000000" w:themeColor="text1"/>
          <w:lang w:val="en-US"/>
        </w:rPr>
        <w:t xml:space="preserve"> </w:t>
      </w:r>
      <w:r w:rsidRPr="00C76FB3">
        <w:rPr>
          <w:color w:val="000000" w:themeColor="text1"/>
          <w:lang w:val="en-US"/>
        </w:rPr>
        <w:t xml:space="preserve">relationship in the context of expert advice involves requiring that experts at least comply with the ethical and epistemic norms of scientific practice, or that they display honesty, integrity, and other moral-epistemic virtues </w:t>
      </w:r>
      <w:r w:rsidR="000638E4">
        <w:rPr>
          <w:color w:val="000000" w:themeColor="text1"/>
          <w:lang w:val="en-US"/>
        </w:rPr>
        <w:t>expected of</w:t>
      </w:r>
      <w:r w:rsidRPr="00C76FB3">
        <w:rPr>
          <w:color w:val="000000" w:themeColor="text1"/>
          <w:lang w:val="en-US"/>
        </w:rPr>
        <w:t xml:space="preserve"> </w:t>
      </w:r>
      <w:r w:rsidR="00F633B5" w:rsidRPr="00C76FB3">
        <w:rPr>
          <w:color w:val="000000" w:themeColor="text1"/>
          <w:lang w:val="en-US"/>
        </w:rPr>
        <w:t>scientist</w:t>
      </w:r>
      <w:r w:rsidR="000638E4">
        <w:rPr>
          <w:color w:val="000000" w:themeColor="text1"/>
          <w:lang w:val="en-US"/>
        </w:rPr>
        <w:t>s</w:t>
      </w:r>
      <w:r w:rsidR="00F633B5" w:rsidRPr="00C76FB3">
        <w:rPr>
          <w:color w:val="000000" w:themeColor="text1"/>
          <w:lang w:val="en-US"/>
        </w:rPr>
        <w:t xml:space="preserve"> and researchers</w:t>
      </w:r>
      <w:r w:rsidRPr="00C76FB3">
        <w:rPr>
          <w:color w:val="000000" w:themeColor="text1"/>
          <w:lang w:val="en-US"/>
        </w:rPr>
        <w:t xml:space="preserve">. </w:t>
      </w:r>
      <w:r w:rsidRPr="00C76FB3">
        <w:rPr>
          <w:color w:val="000000" w:themeColor="text1"/>
        </w:rPr>
        <w:t>A willingness to act in the interest of the recipients of their advice is also seen as a feature of the integrity expected of experts</w:t>
      </w:r>
      <w:r w:rsidR="00D34D3B">
        <w:rPr>
          <w:color w:val="000000" w:themeColor="text1"/>
        </w:rPr>
        <w:t>,</w:t>
      </w:r>
      <w:r w:rsidRPr="00C76FB3">
        <w:rPr>
          <w:color w:val="000000" w:themeColor="text1"/>
        </w:rPr>
        <w:t xml:space="preserve"> and such willingness is taken as an indicator of their benevolence (see Hawley</w:t>
      </w:r>
      <w:r w:rsidR="00D34D3B">
        <w:rPr>
          <w:color w:val="000000" w:themeColor="text1"/>
        </w:rPr>
        <w:t>,</w:t>
      </w:r>
      <w:r w:rsidRPr="00C76FB3">
        <w:rPr>
          <w:color w:val="000000" w:themeColor="text1"/>
        </w:rPr>
        <w:t xml:space="preserve"> 2017</w:t>
      </w:r>
      <w:r w:rsidR="00D34D3B">
        <w:rPr>
          <w:color w:val="000000" w:themeColor="text1"/>
        </w:rPr>
        <w:t>,</w:t>
      </w:r>
      <w:r w:rsidRPr="00C76FB3">
        <w:rPr>
          <w:color w:val="000000" w:themeColor="text1"/>
        </w:rPr>
        <w:t xml:space="preserve"> for contrary view). These normative and affective expectations are the reassurances that we need in the face of the risks we take in trusting and justify the hope and confidence we place on those we trust. As we will see in the next section, not fulfilling such expectations is one of the reasons for the breakdown of trust in experts.</w:t>
      </w:r>
    </w:p>
    <w:p w14:paraId="0D376EC9" w14:textId="44898F99" w:rsidR="008012DB" w:rsidRPr="00413FEF" w:rsidRDefault="008012DB" w:rsidP="008012DB">
      <w:pPr>
        <w:spacing w:line="360" w:lineRule="auto"/>
        <w:ind w:firstLine="720"/>
      </w:pPr>
      <w:r w:rsidRPr="00413FEF">
        <w:t>Trust is an essential element of societies</w:t>
      </w:r>
      <w:r w:rsidR="00800181">
        <w:t>,</w:t>
      </w:r>
      <w:r w:rsidRPr="00413FEF">
        <w:t xml:space="preserve"> and especially of democracies: it creates cohesion and the very possibility of successful communication</w:t>
      </w:r>
      <w:r w:rsidR="00800181">
        <w:t>—particularly</w:t>
      </w:r>
      <w:r w:rsidRPr="00413FEF">
        <w:t xml:space="preserve"> when the goal is for the public to take some action (as in the case of vaccination campaigns or </w:t>
      </w:r>
      <w:r w:rsidR="00800181">
        <w:t xml:space="preserve">changes in  </w:t>
      </w:r>
      <w:r w:rsidRPr="00413FEF">
        <w:t>consumption</w:t>
      </w:r>
      <w:r w:rsidR="00800181">
        <w:t xml:space="preserve"> patterns</w:t>
      </w:r>
      <w:r w:rsidRPr="00413FEF">
        <w:t xml:space="preserve"> in </w:t>
      </w:r>
      <w:r w:rsidR="00800181">
        <w:t>response to</w:t>
      </w:r>
      <w:r w:rsidRPr="00413FEF">
        <w:t xml:space="preserve"> climate change)</w:t>
      </w:r>
      <w:r w:rsidR="00800181">
        <w:t>,</w:t>
      </w:r>
      <w:r w:rsidRPr="00413FEF">
        <w:t xml:space="preserve"> or to accept certain changes that will impact their lives (for instance, again in the context of climate change, accepting increased taxes on highly polluting products or policy requirements to </w:t>
      </w:r>
      <w:r w:rsidR="00800181">
        <w:t>transition</w:t>
      </w:r>
      <w:r w:rsidRPr="00413FEF">
        <w:t xml:space="preserve"> business production methods to low</w:t>
      </w:r>
      <w:r w:rsidR="00800181">
        <w:t>-</w:t>
      </w:r>
      <w:r w:rsidRPr="00413FEF">
        <w:t xml:space="preserve">carbon </w:t>
      </w:r>
      <w:r w:rsidR="00800181">
        <w:t xml:space="preserve">alternatives </w:t>
      </w:r>
      <w:r w:rsidRPr="00413FEF">
        <w:t xml:space="preserve">). Currently, two  particularly relevant </w:t>
      </w:r>
      <w:r w:rsidR="00CC0E17">
        <w:t xml:space="preserve">domains </w:t>
      </w:r>
      <w:r w:rsidRPr="00413FEF">
        <w:t xml:space="preserve">are the communication of expert knowledge in the medical and environmental fields. In </w:t>
      </w:r>
      <w:r w:rsidR="00FD5831">
        <w:t>Section</w:t>
      </w:r>
      <w:r w:rsidR="00FD5831" w:rsidRPr="00413FEF">
        <w:t xml:space="preserve"> </w:t>
      </w:r>
      <w:r w:rsidRPr="00413FEF">
        <w:t>IV, in the course of discussing the ethics of trust, we shall consider the ethical implications of trust an</w:t>
      </w:r>
      <w:r w:rsidR="001C194A" w:rsidRPr="00413FEF">
        <w:t>d</w:t>
      </w:r>
      <w:r w:rsidRPr="00413FEF">
        <w:t xml:space="preserve"> distrust in the aforementioned cases. </w:t>
      </w:r>
    </w:p>
    <w:p w14:paraId="22A1D04A" w14:textId="77777777" w:rsidR="008012DB" w:rsidRPr="00C76FB3" w:rsidRDefault="008012DB" w:rsidP="008012DB">
      <w:pPr>
        <w:spacing w:line="360" w:lineRule="auto"/>
        <w:ind w:right="89"/>
        <w:rPr>
          <w:color w:val="000000" w:themeColor="text1"/>
          <w:lang w:val="en-US"/>
        </w:rPr>
      </w:pPr>
    </w:p>
    <w:p w14:paraId="34C0745C" w14:textId="6C56BF5D" w:rsidR="008012DB" w:rsidRPr="00C76FB3" w:rsidRDefault="00515384" w:rsidP="008012DB">
      <w:pPr>
        <w:spacing w:line="360" w:lineRule="auto"/>
        <w:ind w:right="89"/>
        <w:rPr>
          <w:b/>
          <w:bCs/>
          <w:caps/>
          <w:color w:val="000000" w:themeColor="text1"/>
        </w:rPr>
      </w:pPr>
      <w:r>
        <w:rPr>
          <w:b/>
          <w:bCs/>
          <w:caps/>
          <w:color w:val="000000" w:themeColor="text1"/>
        </w:rPr>
        <w:t>s</w:t>
      </w:r>
      <w:r>
        <w:rPr>
          <w:b/>
          <w:bCs/>
          <w:color w:val="000000" w:themeColor="text1"/>
        </w:rPr>
        <w:t>ection</w:t>
      </w:r>
      <w:r w:rsidR="00005A66" w:rsidRPr="00C76FB3">
        <w:rPr>
          <w:b/>
          <w:bCs/>
          <w:caps/>
          <w:color w:val="000000" w:themeColor="text1"/>
        </w:rPr>
        <w:t xml:space="preserve"> </w:t>
      </w:r>
      <w:r w:rsidR="00744AB7" w:rsidRPr="00C76FB3">
        <w:rPr>
          <w:b/>
          <w:bCs/>
          <w:caps/>
          <w:color w:val="000000" w:themeColor="text1"/>
        </w:rPr>
        <w:t>I</w:t>
      </w:r>
      <w:r w:rsidR="00F914B5" w:rsidRPr="00C76FB3">
        <w:rPr>
          <w:b/>
          <w:bCs/>
          <w:caps/>
          <w:color w:val="000000" w:themeColor="text1"/>
        </w:rPr>
        <w:t>I</w:t>
      </w:r>
      <w:r w:rsidR="001F1678" w:rsidRPr="00C76FB3">
        <w:rPr>
          <w:b/>
          <w:bCs/>
          <w:caps/>
          <w:color w:val="000000" w:themeColor="text1"/>
        </w:rPr>
        <w:t xml:space="preserve">. </w:t>
      </w:r>
      <w:r w:rsidRPr="00413FEF">
        <w:rPr>
          <w:b/>
          <w:bCs/>
          <w:color w:val="000000" w:themeColor="text1"/>
        </w:rPr>
        <w:t>The Breakdown of</w:t>
      </w:r>
      <w:r w:rsidR="008012DB" w:rsidRPr="00C76FB3">
        <w:rPr>
          <w:b/>
          <w:bCs/>
          <w:caps/>
          <w:color w:val="000000" w:themeColor="text1"/>
        </w:rPr>
        <w:t xml:space="preserve"> </w:t>
      </w:r>
      <w:r w:rsidRPr="00413FEF">
        <w:rPr>
          <w:b/>
          <w:bCs/>
          <w:color w:val="000000" w:themeColor="text1"/>
        </w:rPr>
        <w:t xml:space="preserve">Trust </w:t>
      </w:r>
    </w:p>
    <w:p w14:paraId="563CC037" w14:textId="77777777" w:rsidR="008012DB" w:rsidRPr="00C76FB3" w:rsidRDefault="008012DB" w:rsidP="008012DB">
      <w:pPr>
        <w:spacing w:line="360" w:lineRule="auto"/>
        <w:ind w:right="89"/>
        <w:rPr>
          <w:b/>
          <w:bCs/>
          <w:color w:val="000000" w:themeColor="text1"/>
        </w:rPr>
      </w:pPr>
    </w:p>
    <w:p w14:paraId="73A6F32A" w14:textId="26531AD1" w:rsidR="008012DB" w:rsidRPr="00C76FB3" w:rsidRDefault="008012DB" w:rsidP="004756F6">
      <w:pPr>
        <w:spacing w:line="360" w:lineRule="auto"/>
        <w:ind w:right="89" w:firstLine="567"/>
        <w:rPr>
          <w:color w:val="000000" w:themeColor="text1"/>
        </w:rPr>
      </w:pPr>
      <w:r w:rsidRPr="00C76FB3">
        <w:rPr>
          <w:color w:val="000000" w:themeColor="text1"/>
        </w:rPr>
        <w:lastRenderedPageBreak/>
        <w:t>The breakdown of trust in experts is a source of socio-political concern and a topic of philosophical interest. This section briefly examines some of the reasons for withdrawals of trust from experts. Mistrust of experts, like trust, has many sources and explanations. Trust can justifiably be withdrawn from experts who are judged to have made serious mistakes or have been dishonest, untruthful</w:t>
      </w:r>
      <w:r w:rsidR="007534D3">
        <w:rPr>
          <w:color w:val="000000" w:themeColor="text1"/>
        </w:rPr>
        <w:t>,</w:t>
      </w:r>
      <w:r w:rsidRPr="00C76FB3">
        <w:rPr>
          <w:color w:val="000000" w:themeColor="text1"/>
        </w:rPr>
        <w:t xml:space="preserve"> or biased. The legitimacy of these concerns, at least in principle, is acknowledged by experts and non-experts alike. But it is easy to imagine that adequate training, professional vigilance</w:t>
      </w:r>
      <w:r w:rsidR="007534D3">
        <w:rPr>
          <w:color w:val="000000" w:themeColor="text1"/>
        </w:rPr>
        <w:t>,</w:t>
      </w:r>
      <w:r w:rsidRPr="00C76FB3">
        <w:rPr>
          <w:color w:val="000000" w:themeColor="text1"/>
        </w:rPr>
        <w:t xml:space="preserve"> and public monitoring of the markers of intellectual </w:t>
      </w:r>
      <w:r w:rsidRPr="00C76FB3">
        <w:rPr>
          <w:i/>
          <w:iCs/>
          <w:color w:val="000000" w:themeColor="text1"/>
        </w:rPr>
        <w:t>integrity</w:t>
      </w:r>
      <w:r w:rsidR="0062342C">
        <w:rPr>
          <w:i/>
          <w:iCs/>
          <w:color w:val="000000" w:themeColor="text1"/>
        </w:rPr>
        <w:t>—</w:t>
      </w:r>
      <w:r w:rsidRPr="00C76FB3">
        <w:rPr>
          <w:color w:val="000000" w:themeColor="text1"/>
        </w:rPr>
        <w:t xml:space="preserve">as well as vigilance </w:t>
      </w:r>
      <w:r w:rsidR="0062342C">
        <w:rPr>
          <w:color w:val="000000" w:themeColor="text1"/>
        </w:rPr>
        <w:t>regarding</w:t>
      </w:r>
      <w:r w:rsidR="0062342C" w:rsidRPr="00C76FB3">
        <w:rPr>
          <w:color w:val="000000" w:themeColor="text1"/>
        </w:rPr>
        <w:t xml:space="preserve"> </w:t>
      </w:r>
      <w:r w:rsidRPr="00C76FB3">
        <w:rPr>
          <w:color w:val="000000" w:themeColor="text1"/>
        </w:rPr>
        <w:t>the institutional norms governing the work of expert bodies</w:t>
      </w:r>
      <w:r w:rsidR="0062342C">
        <w:rPr>
          <w:color w:val="000000" w:themeColor="text1"/>
        </w:rPr>
        <w:t>(</w:t>
      </w:r>
      <w:r w:rsidRPr="00C76FB3">
        <w:rPr>
          <w:color w:val="000000" w:themeColor="text1"/>
        </w:rPr>
        <w:t>e.g.</w:t>
      </w:r>
      <w:r w:rsidR="0062342C">
        <w:rPr>
          <w:color w:val="000000" w:themeColor="text1"/>
        </w:rPr>
        <w:t>,</w:t>
      </w:r>
      <w:r w:rsidRPr="00C76FB3">
        <w:rPr>
          <w:color w:val="000000" w:themeColor="text1"/>
        </w:rPr>
        <w:t xml:space="preserve"> rigorous review mechanisms, political independence, etc.</w:t>
      </w:r>
      <w:r w:rsidR="0062342C">
        <w:rPr>
          <w:color w:val="000000" w:themeColor="text1"/>
        </w:rPr>
        <w:t>)—</w:t>
      </w:r>
      <w:r w:rsidRPr="00C76FB3">
        <w:rPr>
          <w:i/>
          <w:iCs/>
          <w:color w:val="000000" w:themeColor="text1"/>
        </w:rPr>
        <w:t>could address</w:t>
      </w:r>
      <w:r w:rsidRPr="00C76FB3">
        <w:rPr>
          <w:color w:val="000000" w:themeColor="text1"/>
        </w:rPr>
        <w:t xml:space="preserve"> such concerns. Serious disagreement among experts is thought to have an impact on the perceptions of the trustworthiness of their advice, but the exact scope of this concern is in question (Dellsén</w:t>
      </w:r>
      <w:r w:rsidR="0062342C">
        <w:rPr>
          <w:color w:val="000000" w:themeColor="text1"/>
        </w:rPr>
        <w:t>,</w:t>
      </w:r>
      <w:r w:rsidRPr="00C76FB3">
        <w:rPr>
          <w:color w:val="000000" w:themeColor="text1"/>
        </w:rPr>
        <w:t xml:space="preserve"> 2018). </w:t>
      </w:r>
    </w:p>
    <w:p w14:paraId="66CB95C1" w14:textId="180FD45A" w:rsidR="008012DB" w:rsidRPr="00C76FB3" w:rsidRDefault="008012DB" w:rsidP="008012DB">
      <w:pPr>
        <w:spacing w:line="360" w:lineRule="auto"/>
        <w:ind w:right="89" w:firstLine="567"/>
        <w:rPr>
          <w:color w:val="000000" w:themeColor="text1"/>
        </w:rPr>
      </w:pPr>
      <w:r w:rsidRPr="00C76FB3">
        <w:rPr>
          <w:color w:val="000000" w:themeColor="text1"/>
        </w:rPr>
        <w:t>The question remains why large numbers of people reject scientific consensus on crucial issues like climate change (in the U</w:t>
      </w:r>
      <w:r w:rsidR="0062342C">
        <w:rPr>
          <w:color w:val="000000" w:themeColor="text1"/>
        </w:rPr>
        <w:t xml:space="preserve">nited </w:t>
      </w:r>
      <w:r w:rsidRPr="00C76FB3">
        <w:rPr>
          <w:color w:val="000000" w:themeColor="text1"/>
        </w:rPr>
        <w:t>S</w:t>
      </w:r>
      <w:r w:rsidR="0062342C">
        <w:rPr>
          <w:color w:val="000000" w:themeColor="text1"/>
        </w:rPr>
        <w:t>tates</w:t>
      </w:r>
      <w:r w:rsidRPr="00C76FB3">
        <w:rPr>
          <w:color w:val="000000" w:themeColor="text1"/>
        </w:rPr>
        <w:t>) and vaccination (</w:t>
      </w:r>
      <w:r w:rsidR="0062342C">
        <w:rPr>
          <w:color w:val="000000" w:themeColor="text1"/>
        </w:rPr>
        <w:t xml:space="preserve">in the </w:t>
      </w:r>
      <w:r w:rsidRPr="00C76FB3">
        <w:rPr>
          <w:color w:val="000000" w:themeColor="text1"/>
        </w:rPr>
        <w:t>U</w:t>
      </w:r>
      <w:r w:rsidR="0062342C">
        <w:rPr>
          <w:color w:val="000000" w:themeColor="text1"/>
        </w:rPr>
        <w:t xml:space="preserve">nited </w:t>
      </w:r>
      <w:r w:rsidRPr="00C76FB3">
        <w:rPr>
          <w:color w:val="000000" w:themeColor="text1"/>
        </w:rPr>
        <w:t>K</w:t>
      </w:r>
      <w:r w:rsidR="0062342C">
        <w:rPr>
          <w:color w:val="000000" w:themeColor="text1"/>
        </w:rPr>
        <w:t>ingdom</w:t>
      </w:r>
      <w:r w:rsidRPr="00C76FB3">
        <w:rPr>
          <w:color w:val="000000" w:themeColor="text1"/>
        </w:rPr>
        <w:t xml:space="preserve"> and</w:t>
      </w:r>
      <w:r w:rsidR="0062342C">
        <w:rPr>
          <w:color w:val="000000" w:themeColor="text1"/>
        </w:rPr>
        <w:t xml:space="preserve"> the</w:t>
      </w:r>
      <w:r w:rsidRPr="00C76FB3">
        <w:rPr>
          <w:color w:val="000000" w:themeColor="text1"/>
        </w:rPr>
        <w:t xml:space="preserve"> U</w:t>
      </w:r>
      <w:r w:rsidR="0062342C">
        <w:rPr>
          <w:color w:val="000000" w:themeColor="text1"/>
        </w:rPr>
        <w:t xml:space="preserve">nited </w:t>
      </w:r>
      <w:r w:rsidRPr="00C76FB3">
        <w:rPr>
          <w:color w:val="000000" w:themeColor="text1"/>
        </w:rPr>
        <w:t>S</w:t>
      </w:r>
      <w:r w:rsidR="0062342C">
        <w:rPr>
          <w:color w:val="000000" w:themeColor="text1"/>
        </w:rPr>
        <w:t>tates</w:t>
      </w:r>
      <w:r w:rsidRPr="00C76FB3">
        <w:rPr>
          <w:color w:val="000000" w:themeColor="text1"/>
        </w:rPr>
        <w:t>)</w:t>
      </w:r>
      <w:r w:rsidR="00744AB7" w:rsidRPr="00C76FB3">
        <w:rPr>
          <w:color w:val="000000" w:themeColor="text1"/>
        </w:rPr>
        <w:t xml:space="preserve"> </w:t>
      </w:r>
      <w:r w:rsidRPr="00C76FB3">
        <w:rPr>
          <w:color w:val="000000" w:themeColor="text1"/>
        </w:rPr>
        <w:t>Scepticism about expert advice in such cases rarely comes down to the details of the scientific evidence or the methodology scientists employ, but is linked to social, psychological</w:t>
      </w:r>
      <w:r w:rsidR="002E7CE9">
        <w:rPr>
          <w:color w:val="000000" w:themeColor="text1"/>
        </w:rPr>
        <w:t>,</w:t>
      </w:r>
      <w:r w:rsidRPr="00C76FB3">
        <w:rPr>
          <w:color w:val="000000" w:themeColor="text1"/>
        </w:rPr>
        <w:t xml:space="preserve"> and broadly normative considerations (Levy</w:t>
      </w:r>
      <w:r w:rsidR="002E7CE9">
        <w:rPr>
          <w:color w:val="000000" w:themeColor="text1"/>
        </w:rPr>
        <w:t>,</w:t>
      </w:r>
      <w:r w:rsidRPr="00C76FB3">
        <w:rPr>
          <w:color w:val="000000" w:themeColor="text1"/>
        </w:rPr>
        <w:t xml:space="preserve"> 2019).</w:t>
      </w:r>
    </w:p>
    <w:p w14:paraId="2B3D04ED" w14:textId="12035A83" w:rsidR="008012DB" w:rsidRPr="00C76FB3" w:rsidRDefault="008012DB" w:rsidP="008012DB">
      <w:pPr>
        <w:spacing w:line="360" w:lineRule="auto"/>
        <w:ind w:right="89" w:firstLine="567"/>
        <w:rPr>
          <w:color w:val="000000" w:themeColor="text1"/>
        </w:rPr>
      </w:pPr>
      <w:r w:rsidRPr="00C76FB3">
        <w:rPr>
          <w:color w:val="000000" w:themeColor="text1"/>
        </w:rPr>
        <w:t>Let us consider the psychological aspects first. At an individual level, traditional cognitive biases such as confirmation bias, desirability bias, and motivated reasoning obstruct trust</w:t>
      </w:r>
      <w:r w:rsidR="00AE6D73">
        <w:rPr>
          <w:color w:val="000000" w:themeColor="text1"/>
        </w:rPr>
        <w:t xml:space="preserve"> </w:t>
      </w:r>
      <w:r w:rsidRPr="00C76FB3">
        <w:rPr>
          <w:color w:val="000000" w:themeColor="text1"/>
        </w:rPr>
        <w:t>relationships whenever there is a clash of opinions between the expert and the lay person (e.g., Nichols</w:t>
      </w:r>
      <w:r w:rsidR="002E7CE9">
        <w:rPr>
          <w:color w:val="000000" w:themeColor="text1"/>
        </w:rPr>
        <w:t>,</w:t>
      </w:r>
      <w:r w:rsidRPr="00C76FB3">
        <w:rPr>
          <w:color w:val="000000" w:themeColor="text1"/>
        </w:rPr>
        <w:t xml:space="preserve"> 2017). At a collective level, the opportunity to establish immediate connections with people who share one’s  worldview—typically online, via social media—makes novices prone to group polarization, that is, the tendency to </w:t>
      </w:r>
      <w:r w:rsidR="002E7CE9">
        <w:rPr>
          <w:color w:val="000000" w:themeColor="text1"/>
        </w:rPr>
        <w:t>adopt</w:t>
      </w:r>
      <w:r w:rsidR="002E7CE9" w:rsidRPr="00C76FB3">
        <w:rPr>
          <w:color w:val="000000" w:themeColor="text1"/>
        </w:rPr>
        <w:t xml:space="preserve"> </w:t>
      </w:r>
      <w:r w:rsidR="002E7CE9">
        <w:rPr>
          <w:color w:val="000000" w:themeColor="text1"/>
        </w:rPr>
        <w:t xml:space="preserve">more extreme </w:t>
      </w:r>
      <w:r w:rsidRPr="00C76FB3">
        <w:rPr>
          <w:color w:val="000000" w:themeColor="text1"/>
        </w:rPr>
        <w:t xml:space="preserve">beliefs when </w:t>
      </w:r>
      <w:r w:rsidR="002E7CE9">
        <w:rPr>
          <w:color w:val="000000" w:themeColor="text1"/>
        </w:rPr>
        <w:t xml:space="preserve">engaging with </w:t>
      </w:r>
      <w:r w:rsidRPr="00C76FB3">
        <w:rPr>
          <w:color w:val="000000" w:themeColor="text1"/>
        </w:rPr>
        <w:t>a group of</w:t>
      </w:r>
      <w:r w:rsidR="002E7CE9">
        <w:rPr>
          <w:color w:val="000000" w:themeColor="text1"/>
        </w:rPr>
        <w:t xml:space="preserve"> like-minded</w:t>
      </w:r>
      <w:r w:rsidRPr="00C76FB3">
        <w:rPr>
          <w:color w:val="000000" w:themeColor="text1"/>
        </w:rPr>
        <w:t xml:space="preserve"> individuals (Sunstein</w:t>
      </w:r>
      <w:r w:rsidR="002E7CE9">
        <w:rPr>
          <w:color w:val="000000" w:themeColor="text1"/>
        </w:rPr>
        <w:t>,</w:t>
      </w:r>
      <w:r w:rsidRPr="00C76FB3">
        <w:rPr>
          <w:color w:val="000000" w:themeColor="text1"/>
        </w:rPr>
        <w:t xml:space="preserve"> 2017). Combining these factors, we can easily make sense of Kahan and colleagues’ </w:t>
      </w:r>
      <w:r w:rsidRPr="00C76FB3">
        <w:rPr>
          <w:i/>
          <w:iCs/>
          <w:color w:val="000000" w:themeColor="text1"/>
        </w:rPr>
        <w:t>cultural cognition thesis</w:t>
      </w:r>
      <w:r w:rsidRPr="00C76FB3">
        <w:rPr>
          <w:color w:val="000000" w:themeColor="text1"/>
        </w:rPr>
        <w:t xml:space="preserve">, namely, that people tend to form beliefs about societal risks and factual information that sustain their personal values, and </w:t>
      </w:r>
      <w:r w:rsidR="00711595">
        <w:rPr>
          <w:color w:val="000000" w:themeColor="text1"/>
        </w:rPr>
        <w:t xml:space="preserve">of </w:t>
      </w:r>
      <w:r w:rsidRPr="00C76FB3">
        <w:rPr>
          <w:i/>
          <w:iCs/>
          <w:color w:val="000000" w:themeColor="text1"/>
        </w:rPr>
        <w:t>political</w:t>
      </w:r>
      <w:r w:rsidR="00711595">
        <w:rPr>
          <w:i/>
          <w:iCs/>
          <w:color w:val="000000" w:themeColor="text1"/>
        </w:rPr>
        <w:t>ly</w:t>
      </w:r>
      <w:r w:rsidRPr="00C76FB3">
        <w:rPr>
          <w:i/>
          <w:iCs/>
          <w:color w:val="000000" w:themeColor="text1"/>
        </w:rPr>
        <w:t xml:space="preserve"> motivated reasoning</w:t>
      </w:r>
      <w:r w:rsidRPr="00C76FB3">
        <w:rPr>
          <w:color w:val="000000" w:themeColor="text1"/>
        </w:rPr>
        <w:t>, that is, the idea that people trust experts who appear to share their values and distrust those who seem to hold diverging views (</w:t>
      </w:r>
      <w:r w:rsidR="007649E4">
        <w:rPr>
          <w:color w:val="000000" w:themeColor="text1"/>
        </w:rPr>
        <w:t xml:space="preserve">Kahan et al., </w:t>
      </w:r>
      <w:r w:rsidRPr="00C76FB3">
        <w:rPr>
          <w:color w:val="000000" w:themeColor="text1"/>
        </w:rPr>
        <w:t xml:space="preserve">2010). The icing on the cake is offered by the </w:t>
      </w:r>
      <w:r w:rsidRPr="00C76FB3">
        <w:rPr>
          <w:i/>
          <w:iCs/>
          <w:color w:val="000000" w:themeColor="text1"/>
        </w:rPr>
        <w:t>Dunning-Kruger</w:t>
      </w:r>
      <w:r w:rsidRPr="00C76FB3">
        <w:rPr>
          <w:color w:val="000000" w:themeColor="text1"/>
        </w:rPr>
        <w:t xml:space="preserve"> </w:t>
      </w:r>
      <w:r w:rsidRPr="00C76FB3">
        <w:rPr>
          <w:i/>
          <w:iCs/>
          <w:color w:val="000000" w:themeColor="text1"/>
        </w:rPr>
        <w:t>effect</w:t>
      </w:r>
      <w:r w:rsidRPr="00C76FB3">
        <w:rPr>
          <w:color w:val="000000" w:themeColor="text1"/>
        </w:rPr>
        <w:t xml:space="preserve"> (Kruger and Dunning</w:t>
      </w:r>
      <w:r w:rsidR="007649E4">
        <w:rPr>
          <w:color w:val="000000" w:themeColor="text1"/>
        </w:rPr>
        <w:t>,</w:t>
      </w:r>
      <w:r w:rsidRPr="00C76FB3">
        <w:rPr>
          <w:color w:val="000000" w:themeColor="text1"/>
        </w:rPr>
        <w:t xml:space="preserve"> 1999), that is, the tendency of novices to overestimate their ability in a given domain</w:t>
      </w:r>
      <w:r w:rsidR="007649E4">
        <w:rPr>
          <w:color w:val="000000" w:themeColor="text1"/>
        </w:rPr>
        <w:t>.</w:t>
      </w:r>
      <w:r w:rsidRPr="00C76FB3">
        <w:rPr>
          <w:color w:val="000000" w:themeColor="text1"/>
        </w:rPr>
        <w:t xml:space="preserve"> </w:t>
      </w:r>
      <w:r w:rsidR="007649E4">
        <w:rPr>
          <w:color w:val="000000" w:themeColor="text1"/>
        </w:rPr>
        <w:t>A</w:t>
      </w:r>
      <w:r w:rsidR="007649E4" w:rsidRPr="00C76FB3">
        <w:rPr>
          <w:color w:val="000000" w:themeColor="text1"/>
        </w:rPr>
        <w:t xml:space="preserve">s </w:t>
      </w:r>
      <w:r w:rsidRPr="00C76FB3">
        <w:rPr>
          <w:color w:val="000000" w:themeColor="text1"/>
        </w:rPr>
        <w:t>Ballantyne (2019) and Brennan (2020) point out, this psychological phenomenon is particularly relevant in cases where laypeople seem unable to acknowledge who is epistemically superior in a given domain.</w:t>
      </w:r>
    </w:p>
    <w:p w14:paraId="5EF2BC95" w14:textId="117A3BFE" w:rsidR="008012DB" w:rsidRPr="00C76FB3" w:rsidRDefault="008012DB" w:rsidP="008012DB">
      <w:pPr>
        <w:spacing w:line="360" w:lineRule="auto"/>
        <w:ind w:right="89" w:firstLine="567"/>
        <w:rPr>
          <w:color w:val="000000" w:themeColor="text1"/>
        </w:rPr>
      </w:pPr>
      <w:r w:rsidRPr="00C76FB3">
        <w:rPr>
          <w:color w:val="000000" w:themeColor="text1"/>
        </w:rPr>
        <w:lastRenderedPageBreak/>
        <w:t>Socio-epistemic structures such as epistemic bubbles and echo chambers, which reinforce ideological exclusion in different ways (Nguyen</w:t>
      </w:r>
      <w:r w:rsidR="007649E4">
        <w:rPr>
          <w:color w:val="000000" w:themeColor="text1"/>
        </w:rPr>
        <w:t>,</w:t>
      </w:r>
      <w:r w:rsidRPr="00C76FB3">
        <w:rPr>
          <w:color w:val="000000" w:themeColor="text1"/>
        </w:rPr>
        <w:t xml:space="preserve"> 2018), strengthen psychological support for mistrust</w:t>
      </w:r>
      <w:r w:rsidR="00BD2F34" w:rsidRPr="00C76FB3">
        <w:rPr>
          <w:color w:val="000000" w:themeColor="text1"/>
        </w:rPr>
        <w:t>.</w:t>
      </w:r>
      <w:r w:rsidRPr="00C76FB3">
        <w:rPr>
          <w:color w:val="000000" w:themeColor="text1"/>
        </w:rPr>
        <w:t xml:space="preserve"> Their combination leads us to increase in in-group trust and higher levels of distrust of outsiders</w:t>
      </w:r>
      <w:r w:rsidR="00A61E82">
        <w:rPr>
          <w:color w:val="000000" w:themeColor="text1"/>
        </w:rPr>
        <w:t>,</w:t>
      </w:r>
      <w:r w:rsidRPr="00C76FB3">
        <w:rPr>
          <w:color w:val="000000" w:themeColor="text1"/>
        </w:rPr>
        <w:t xml:space="preserve"> regardless of their expertise.</w:t>
      </w:r>
    </w:p>
    <w:p w14:paraId="21397AB8" w14:textId="19B179E6" w:rsidR="008012DB" w:rsidRPr="00C76FB3" w:rsidRDefault="008012DB" w:rsidP="008012DB">
      <w:pPr>
        <w:spacing w:line="360" w:lineRule="auto"/>
        <w:ind w:right="89" w:firstLine="567"/>
        <w:rPr>
          <w:color w:val="000000" w:themeColor="text1"/>
        </w:rPr>
      </w:pPr>
      <w:r w:rsidRPr="00C76FB3">
        <w:rPr>
          <w:color w:val="000000" w:themeColor="text1"/>
        </w:rPr>
        <w:t>A further, but no less threatening aspect, has to do with the suspicion, if not outright disdain, shown toward experts and their advice by populist politicians</w:t>
      </w:r>
      <w:r w:rsidR="001C194A" w:rsidRPr="00C76FB3">
        <w:rPr>
          <w:color w:val="000000" w:themeColor="text1"/>
        </w:rPr>
        <w:t xml:space="preserve"> such as Donald Trump in the U</w:t>
      </w:r>
      <w:r w:rsidR="00DD2806">
        <w:rPr>
          <w:color w:val="000000" w:themeColor="text1"/>
        </w:rPr>
        <w:t xml:space="preserve">nited </w:t>
      </w:r>
      <w:r w:rsidR="001C194A" w:rsidRPr="00C76FB3">
        <w:rPr>
          <w:color w:val="000000" w:themeColor="text1"/>
        </w:rPr>
        <w:t>S</w:t>
      </w:r>
      <w:r w:rsidR="00DD2806">
        <w:rPr>
          <w:color w:val="000000" w:themeColor="text1"/>
        </w:rPr>
        <w:t>tates</w:t>
      </w:r>
      <w:r w:rsidR="001C194A" w:rsidRPr="00C76FB3">
        <w:rPr>
          <w:color w:val="000000" w:themeColor="text1"/>
        </w:rPr>
        <w:t xml:space="preserve"> or Bolsonaro in Brazil</w:t>
      </w:r>
      <w:r w:rsidRPr="00C76FB3">
        <w:rPr>
          <w:color w:val="000000" w:themeColor="text1"/>
        </w:rPr>
        <w:t xml:space="preserve">. The negative attitude of populist leaders toward experts is unsurprising. Populists </w:t>
      </w:r>
      <w:r w:rsidR="00450F87">
        <w:rPr>
          <w:color w:val="000000" w:themeColor="text1"/>
        </w:rPr>
        <w:t>seek</w:t>
      </w:r>
      <w:r w:rsidR="00450F87" w:rsidRPr="00C76FB3">
        <w:rPr>
          <w:color w:val="000000" w:themeColor="text1"/>
        </w:rPr>
        <w:t xml:space="preserve"> </w:t>
      </w:r>
      <w:r w:rsidRPr="00C76FB3">
        <w:rPr>
          <w:color w:val="000000" w:themeColor="text1"/>
        </w:rPr>
        <w:t>to govern directly, establishing an unmediated, emotionally replete bond with the “real people</w:t>
      </w:r>
      <w:r w:rsidR="00DD2806">
        <w:rPr>
          <w:color w:val="000000" w:themeColor="text1"/>
        </w:rPr>
        <w:t>.</w:t>
      </w:r>
      <w:r w:rsidRPr="00C76FB3">
        <w:rPr>
          <w:color w:val="000000" w:themeColor="text1"/>
        </w:rPr>
        <w:t>” Experts, with their evidence-based policy recommendations, aspirations of cool-headed objectivity, high educational achievements, and unabashed desire to be among the elite in their field, stand in stark contrast to the populist vision of politics an</w:t>
      </w:r>
      <w:r w:rsidRPr="00450F87">
        <w:rPr>
          <w:color w:val="000000" w:themeColor="text1"/>
        </w:rPr>
        <w:t xml:space="preserve">d </w:t>
      </w:r>
      <w:r w:rsidR="00450F87">
        <w:rPr>
          <w:color w:val="000000" w:themeColor="text1"/>
        </w:rPr>
        <w:t>thus</w:t>
      </w:r>
      <w:r w:rsidR="00450F87" w:rsidRPr="00C76FB3">
        <w:rPr>
          <w:color w:val="000000" w:themeColor="text1"/>
        </w:rPr>
        <w:t xml:space="preserve"> </w:t>
      </w:r>
      <w:r w:rsidRPr="00C76FB3">
        <w:rPr>
          <w:color w:val="000000" w:themeColor="text1"/>
        </w:rPr>
        <w:t>becom</w:t>
      </w:r>
      <w:r w:rsidRPr="00450F87">
        <w:rPr>
          <w:color w:val="000000" w:themeColor="text1"/>
        </w:rPr>
        <w:t xml:space="preserve">e ready targets of their ire. </w:t>
      </w:r>
      <w:r w:rsidR="005750DF" w:rsidRPr="00450F87">
        <w:rPr>
          <w:color w:val="000000" w:themeColor="text1"/>
        </w:rPr>
        <w:t xml:space="preserve">It should be noted that even populist regimes have to rely on experts, but their choice of experts </w:t>
      </w:r>
      <w:r w:rsidR="00B73E4F" w:rsidRPr="00450F87">
        <w:rPr>
          <w:color w:val="000000" w:themeColor="text1"/>
        </w:rPr>
        <w:t xml:space="preserve">frequently reflects their political stance and </w:t>
      </w:r>
      <w:r w:rsidR="00B73E4F" w:rsidRPr="00C76FB3">
        <w:rPr>
          <w:color w:val="000000" w:themeColor="text1"/>
        </w:rPr>
        <w:t xml:space="preserve">frequently elevates fringe scientists. </w:t>
      </w:r>
    </w:p>
    <w:p w14:paraId="3525AF79" w14:textId="489E299F" w:rsidR="008012DB" w:rsidRPr="00C76FB3" w:rsidRDefault="008012DB" w:rsidP="008012DB">
      <w:pPr>
        <w:spacing w:line="360" w:lineRule="auto"/>
        <w:ind w:right="89" w:firstLine="567"/>
        <w:rPr>
          <w:color w:val="000000" w:themeColor="text1"/>
        </w:rPr>
      </w:pPr>
      <w:r w:rsidRPr="00C76FB3">
        <w:rPr>
          <w:color w:val="000000" w:themeColor="text1"/>
        </w:rPr>
        <w:t>There are</w:t>
      </w:r>
      <w:r w:rsidR="00183E21">
        <w:rPr>
          <w:color w:val="000000" w:themeColor="text1"/>
        </w:rPr>
        <w:t>,</w:t>
      </w:r>
      <w:r w:rsidRPr="00C76FB3">
        <w:rPr>
          <w:color w:val="000000" w:themeColor="text1"/>
        </w:rPr>
        <w:t xml:space="preserve"> however</w:t>
      </w:r>
      <w:r w:rsidR="00183E21">
        <w:rPr>
          <w:color w:val="000000" w:themeColor="text1"/>
        </w:rPr>
        <w:t>,</w:t>
      </w:r>
      <w:r w:rsidRPr="00C76FB3">
        <w:rPr>
          <w:color w:val="000000" w:themeColor="text1"/>
        </w:rPr>
        <w:t xml:space="preserve"> a number of broader ethical concerns around the role of experts in our personal and public life. We will return to this in the next section. </w:t>
      </w:r>
    </w:p>
    <w:p w14:paraId="6DC68907" w14:textId="77777777" w:rsidR="008012DB" w:rsidRPr="00C76FB3" w:rsidRDefault="008012DB" w:rsidP="00B2506B">
      <w:pPr>
        <w:spacing w:line="360" w:lineRule="auto"/>
        <w:ind w:right="89" w:firstLine="567"/>
        <w:rPr>
          <w:b/>
          <w:bCs/>
          <w:color w:val="000000" w:themeColor="text1"/>
          <w:lang w:val="en-US"/>
        </w:rPr>
      </w:pPr>
    </w:p>
    <w:p w14:paraId="2242A49E" w14:textId="48CE8D29" w:rsidR="004D62C0" w:rsidRPr="00C76FB3" w:rsidRDefault="008823A7" w:rsidP="00B2506B">
      <w:pPr>
        <w:spacing w:line="360" w:lineRule="auto"/>
        <w:rPr>
          <w:b/>
          <w:bCs/>
          <w:color w:val="000000" w:themeColor="text1"/>
          <w:lang w:val="en-US"/>
        </w:rPr>
      </w:pPr>
      <w:r>
        <w:rPr>
          <w:b/>
          <w:bCs/>
          <w:color w:val="000000" w:themeColor="text1"/>
          <w:lang w:val="en-US"/>
        </w:rPr>
        <w:t>Section</w:t>
      </w:r>
      <w:r w:rsidRPr="00C76FB3">
        <w:rPr>
          <w:b/>
          <w:bCs/>
          <w:color w:val="000000" w:themeColor="text1"/>
          <w:lang w:val="en-US"/>
        </w:rPr>
        <w:t xml:space="preserve"> </w:t>
      </w:r>
      <w:r w:rsidR="00BD2F34" w:rsidRPr="00C76FB3">
        <w:rPr>
          <w:b/>
          <w:bCs/>
          <w:color w:val="000000" w:themeColor="text1"/>
          <w:lang w:val="en-US"/>
        </w:rPr>
        <w:t>III</w:t>
      </w:r>
      <w:r w:rsidR="001951B0" w:rsidRPr="00C76FB3">
        <w:rPr>
          <w:b/>
          <w:bCs/>
          <w:color w:val="000000" w:themeColor="text1"/>
          <w:lang w:val="en-US"/>
        </w:rPr>
        <w:t xml:space="preserve">. </w:t>
      </w:r>
      <w:r w:rsidR="0094465B" w:rsidRPr="00C76FB3">
        <w:rPr>
          <w:b/>
          <w:bCs/>
          <w:color w:val="000000" w:themeColor="text1"/>
          <w:lang w:val="en-US"/>
        </w:rPr>
        <w:t xml:space="preserve"> </w:t>
      </w:r>
      <w:r w:rsidRPr="00413FEF">
        <w:rPr>
          <w:b/>
          <w:bCs/>
          <w:color w:val="000000" w:themeColor="text1"/>
          <w:lang w:val="en-US"/>
        </w:rPr>
        <w:t>The Ethics of</w:t>
      </w:r>
      <w:r w:rsidR="00B2506B" w:rsidRPr="00C76FB3">
        <w:rPr>
          <w:b/>
          <w:bCs/>
          <w:color w:val="000000" w:themeColor="text1"/>
          <w:lang w:val="en-US"/>
        </w:rPr>
        <w:t xml:space="preserve"> </w:t>
      </w:r>
      <w:r w:rsidRPr="00413FEF">
        <w:rPr>
          <w:b/>
          <w:bCs/>
          <w:color w:val="000000" w:themeColor="text1"/>
          <w:lang w:val="en-US"/>
        </w:rPr>
        <w:t>Trust</w:t>
      </w:r>
    </w:p>
    <w:p w14:paraId="039F1978" w14:textId="77777777" w:rsidR="00B2506B" w:rsidRPr="00413FEF" w:rsidRDefault="00B2506B" w:rsidP="00B2506B">
      <w:pPr>
        <w:spacing w:line="360" w:lineRule="auto"/>
      </w:pPr>
    </w:p>
    <w:p w14:paraId="0BF8CFAD" w14:textId="5F6233D3" w:rsidR="004D62C0" w:rsidRPr="00496E02" w:rsidRDefault="004D62C0" w:rsidP="004756F6">
      <w:pPr>
        <w:spacing w:line="360" w:lineRule="auto"/>
        <w:ind w:firstLine="720"/>
      </w:pPr>
      <w:r w:rsidRPr="00413FEF">
        <w:t>Trust is often used as an ethically loaded concept, and trustworthiness is typically understood as a morally desirable property. It is not surprising, therefore, that trust is an important and complex concept in ethics</w:t>
      </w:r>
      <w:r w:rsidR="0096490B" w:rsidRPr="00413FEF">
        <w:t>.</w:t>
      </w:r>
      <w:r w:rsidRPr="00413FEF">
        <w:t xml:space="preserve"> Trust is also considered to be not </w:t>
      </w:r>
      <w:r w:rsidR="007534E5" w:rsidRPr="00413FEF">
        <w:t xml:space="preserve">only </w:t>
      </w:r>
      <w:r w:rsidRPr="00413FEF">
        <w:t xml:space="preserve">morally relevant, but an </w:t>
      </w:r>
      <w:r w:rsidRPr="00413FEF">
        <w:rPr>
          <w:i/>
          <w:iCs/>
        </w:rPr>
        <w:t>essential</w:t>
      </w:r>
      <w:r w:rsidRPr="00413FEF">
        <w:t xml:space="preserve"> element of morality. Thus Annette Baier, one of the pioneers of the ethics of trust, claims that “some degree of trust in the social world is the starting point and very basis of morality”</w:t>
      </w:r>
      <w:r w:rsidR="00AB6CFA" w:rsidRPr="00413FEF">
        <w:t xml:space="preserve"> </w:t>
      </w:r>
      <w:r w:rsidRPr="00C76FB3">
        <w:fldChar w:fldCharType="begin"/>
      </w:r>
      <w:r w:rsidRPr="00413FEF">
        <w:instrText xml:space="preserve"> ADDIN ZOTERO_ITEM CSL_CITATION {"citationID":"em1sCmgZ","properties":{"formattedCitation":"(Baier, 2004)","plainCitation":"(Baier, 2004)","dontUpdate":true,"noteIndex":0},"citationItems":[{"id":260,"uris":["http://zotero.org/users/local/5grjdT5j/items/CSRWW5KN"],"uri":["http://zotero.org/users/local/5grjdT5j/items/CSRWW5KN"],"itemData":{"id":260,"type":"chapter","container-title":"Setting the Moral Compass: Essays by Women Philosophers","page":"176–190","publisher":"Oxford University Press","source":"PhilPapers","title":"Demoralization, Trust, and the Virtues","author":[{"family":"Baier","given":"Annette"}],"editor":[{"family":"Calhoun","given":"Cheshire"}],"issued":{"date-parts":[["2004"]]}}}],"schema":"https://github.com/citation-style-language/schema/raw/master/csl-citation.json"} </w:instrText>
      </w:r>
      <w:r w:rsidRPr="00C76FB3">
        <w:fldChar w:fldCharType="separate"/>
      </w:r>
      <w:r w:rsidRPr="00413FEF">
        <w:rPr>
          <w:noProof/>
        </w:rPr>
        <w:t>(Baier</w:t>
      </w:r>
      <w:r w:rsidR="00496E02">
        <w:rPr>
          <w:noProof/>
        </w:rPr>
        <w:t>,</w:t>
      </w:r>
      <w:r w:rsidRPr="00413FEF">
        <w:rPr>
          <w:noProof/>
        </w:rPr>
        <w:t xml:space="preserve"> 2004</w:t>
      </w:r>
      <w:r w:rsidR="00496E02">
        <w:rPr>
          <w:noProof/>
        </w:rPr>
        <w:t>,</w:t>
      </w:r>
      <w:r w:rsidRPr="00413FEF">
        <w:rPr>
          <w:noProof/>
        </w:rPr>
        <w:t xml:space="preserve"> 180)</w:t>
      </w:r>
      <w:r w:rsidRPr="00C76FB3">
        <w:fldChar w:fldCharType="end"/>
      </w:r>
      <w:r w:rsidRPr="00413FEF">
        <w:t xml:space="preserve">. The ethical dimension of trust depends on three key factors: the vulnerability that trust creates in the trustor and the corresponding possibility </w:t>
      </w:r>
      <w:r w:rsidR="00AB6CFA" w:rsidRPr="00413FEF">
        <w:t>of</w:t>
      </w:r>
      <w:r w:rsidRPr="00413FEF">
        <w:t xml:space="preserve"> harm </w:t>
      </w:r>
      <w:r w:rsidR="00AB6CFA" w:rsidRPr="00413FEF">
        <w:t xml:space="preserve">for </w:t>
      </w:r>
      <w:r w:rsidRPr="00413FEF">
        <w:t>the trustee a result of trust; the</w:t>
      </w:r>
      <w:r w:rsidR="00823C67" w:rsidRPr="00413FEF">
        <w:t xml:space="preserve"> related</w:t>
      </w:r>
      <w:r w:rsidRPr="00413FEF">
        <w:t xml:space="preserve"> moral obligations that trust </w:t>
      </w:r>
      <w:r w:rsidR="00496E02">
        <w:t>generates—</w:t>
      </w:r>
      <w:r w:rsidRPr="00413FEF">
        <w:t xml:space="preserve"> either </w:t>
      </w:r>
      <w:r w:rsidR="00496E02">
        <w:t>a</w:t>
      </w:r>
      <w:r w:rsidR="00496E02" w:rsidRPr="00413FEF">
        <w:t xml:space="preserve"> </w:t>
      </w:r>
      <w:r w:rsidRPr="00413FEF">
        <w:t>responsibilit</w:t>
      </w:r>
      <w:r w:rsidR="00823C67" w:rsidRPr="00413FEF">
        <w:t>y</w:t>
      </w:r>
      <w:r w:rsidRPr="00413FEF">
        <w:t xml:space="preserve"> to trust in </w:t>
      </w:r>
      <w:r w:rsidR="00496E02">
        <w:t>certain</w:t>
      </w:r>
      <w:r w:rsidR="00496E02" w:rsidRPr="00413FEF">
        <w:t xml:space="preserve"> </w:t>
      </w:r>
      <w:r w:rsidRPr="00413FEF">
        <w:t>situations</w:t>
      </w:r>
      <w:r w:rsidRPr="00496E02">
        <w:t xml:space="preserve">, or obligations created in the trustee by contexts in which they are expected to prove trustworthy, given their power over the trustor; and the virtue of trustworthiness, </w:t>
      </w:r>
      <w:r w:rsidR="00496E02">
        <w:t>along with</w:t>
      </w:r>
      <w:r w:rsidRPr="00496E02">
        <w:t xml:space="preserve"> the related moral virtues required by trust. </w:t>
      </w:r>
    </w:p>
    <w:p w14:paraId="6343E441" w14:textId="5F578E2E" w:rsidR="004D62C0" w:rsidRPr="00496E02" w:rsidRDefault="0096490B" w:rsidP="0096490B">
      <w:pPr>
        <w:spacing w:line="360" w:lineRule="auto"/>
      </w:pPr>
      <w:r w:rsidRPr="00496E02">
        <w:t>And  yet, trust is not always</w:t>
      </w:r>
      <w:r w:rsidR="00D46194">
        <w:t>—</w:t>
      </w:r>
      <w:r w:rsidRPr="00496E02">
        <w:t>or uncontroversially</w:t>
      </w:r>
      <w:r w:rsidR="00D46194">
        <w:t>—</w:t>
      </w:r>
      <w:r w:rsidRPr="00496E02">
        <w:t xml:space="preserve">considered morally </w:t>
      </w:r>
      <w:proofErr w:type="spellStart"/>
      <w:r w:rsidRPr="00496E02">
        <w:t>good</w:t>
      </w:r>
      <w:r w:rsidR="00D46194">
        <w:t>.W</w:t>
      </w:r>
      <w:r w:rsidR="007252FD" w:rsidRPr="00496E02">
        <w:t>hile</w:t>
      </w:r>
      <w:proofErr w:type="spellEnd"/>
      <w:r w:rsidR="007252FD" w:rsidRPr="00496E02">
        <w:t xml:space="preserve"> </w:t>
      </w:r>
      <w:r w:rsidR="004D62C0" w:rsidRPr="00496E02">
        <w:t xml:space="preserve">trust and trustworthiness are more often intuitively associated with positive ethical value, there are also moral perils that accompany trust. In the final part of </w:t>
      </w:r>
      <w:r w:rsidR="003A1553" w:rsidRPr="00496E02">
        <w:t>S</w:t>
      </w:r>
      <w:r w:rsidR="004D62C0" w:rsidRPr="00496E02">
        <w:t xml:space="preserve">ection </w:t>
      </w:r>
      <w:r w:rsidR="00F4662D">
        <w:t>II</w:t>
      </w:r>
      <w:r w:rsidR="008A7093">
        <w:t>,</w:t>
      </w:r>
      <w:r w:rsidR="00F4662D" w:rsidRPr="00496E02">
        <w:t xml:space="preserve"> </w:t>
      </w:r>
      <w:r w:rsidR="004D62C0" w:rsidRPr="00496E02">
        <w:t xml:space="preserve">we turn to problematizing trust and asking whether there is any indication in the literature that trust </w:t>
      </w:r>
      <w:r w:rsidR="004D62C0" w:rsidRPr="00496E02">
        <w:lastRenderedPageBreak/>
        <w:t>sometimes ought to be withheld</w:t>
      </w:r>
      <w:r w:rsidR="008A7093">
        <w:t>—</w:t>
      </w:r>
      <w:r w:rsidR="004D62C0" w:rsidRPr="00496E02">
        <w:t xml:space="preserve">even when one </w:t>
      </w:r>
      <w:r w:rsidR="008A7093">
        <w:t xml:space="preserve">simultaneously </w:t>
      </w:r>
      <w:r w:rsidR="004D62C0" w:rsidRPr="00496E02">
        <w:t>has good reasons to trust</w:t>
      </w:r>
      <w:r w:rsidR="008A7093">
        <w:t>—</w:t>
      </w:r>
      <w:r w:rsidR="004D62C0" w:rsidRPr="00496E02">
        <w:t xml:space="preserve"> or that trust may create morally undesirable situations.</w:t>
      </w:r>
    </w:p>
    <w:p w14:paraId="7D303B54" w14:textId="77777777" w:rsidR="004D62C0" w:rsidRPr="00496E02" w:rsidRDefault="004D62C0" w:rsidP="00B2506B">
      <w:pPr>
        <w:spacing w:line="360" w:lineRule="auto"/>
      </w:pPr>
    </w:p>
    <w:p w14:paraId="1168693B" w14:textId="32B845A8" w:rsidR="0007441D" w:rsidRPr="00496E02" w:rsidRDefault="00BD2F34" w:rsidP="00742F85">
      <w:pPr>
        <w:spacing w:line="360" w:lineRule="auto"/>
        <w:rPr>
          <w:b/>
          <w:bCs/>
        </w:rPr>
      </w:pPr>
      <w:r w:rsidRPr="00496E02">
        <w:rPr>
          <w:b/>
          <w:bCs/>
        </w:rPr>
        <w:t>III</w:t>
      </w:r>
      <w:r w:rsidR="001F1678" w:rsidRPr="00496E02">
        <w:rPr>
          <w:b/>
          <w:bCs/>
        </w:rPr>
        <w:t xml:space="preserve">.1 </w:t>
      </w:r>
      <w:r w:rsidR="004D62C0" w:rsidRPr="00496E02">
        <w:rPr>
          <w:b/>
          <w:bCs/>
        </w:rPr>
        <w:t xml:space="preserve">The </w:t>
      </w:r>
      <w:r w:rsidR="00042DAE">
        <w:rPr>
          <w:b/>
          <w:bCs/>
        </w:rPr>
        <w:t>V</w:t>
      </w:r>
      <w:r w:rsidR="004D62C0" w:rsidRPr="00496E02">
        <w:rPr>
          <w:b/>
          <w:bCs/>
        </w:rPr>
        <w:t xml:space="preserve">alue of </w:t>
      </w:r>
      <w:r w:rsidR="00042DAE">
        <w:rPr>
          <w:b/>
          <w:bCs/>
        </w:rPr>
        <w:t>T</w:t>
      </w:r>
      <w:r w:rsidR="004D62C0" w:rsidRPr="00496E02">
        <w:rPr>
          <w:b/>
          <w:bCs/>
        </w:rPr>
        <w:t xml:space="preserve">rust: </w:t>
      </w:r>
      <w:r w:rsidR="00042DAE">
        <w:rPr>
          <w:b/>
          <w:bCs/>
        </w:rPr>
        <w:t>I</w:t>
      </w:r>
      <w:r w:rsidR="004D62C0" w:rsidRPr="00496E02">
        <w:rPr>
          <w:b/>
          <w:bCs/>
        </w:rPr>
        <w:t xml:space="preserve">ntrinsic and </w:t>
      </w:r>
      <w:r w:rsidR="00042DAE">
        <w:rPr>
          <w:b/>
          <w:bCs/>
        </w:rPr>
        <w:t>I</w:t>
      </w:r>
      <w:r w:rsidR="004D62C0" w:rsidRPr="00496E02">
        <w:rPr>
          <w:b/>
          <w:bCs/>
        </w:rPr>
        <w:t xml:space="preserve">nstrumental </w:t>
      </w:r>
      <w:r w:rsidR="00042DAE">
        <w:rPr>
          <w:b/>
          <w:bCs/>
        </w:rPr>
        <w:t>V</w:t>
      </w:r>
      <w:r w:rsidR="004D62C0" w:rsidRPr="00496E02">
        <w:rPr>
          <w:b/>
          <w:bCs/>
        </w:rPr>
        <w:t>alue</w:t>
      </w:r>
      <w:r w:rsidR="004D62C0" w:rsidRPr="00496E02">
        <w:rPr>
          <w:b/>
          <w:bCs/>
          <w:color w:val="ED7D31" w:themeColor="accent2"/>
        </w:rPr>
        <w:t xml:space="preserve"> </w:t>
      </w:r>
      <w:r w:rsidR="0007441D" w:rsidRPr="00496E02">
        <w:rPr>
          <w:b/>
          <w:bCs/>
        </w:rPr>
        <w:tab/>
      </w:r>
    </w:p>
    <w:p w14:paraId="08265FBD" w14:textId="77777777" w:rsidR="00742F85" w:rsidRPr="00496E02" w:rsidRDefault="00742F85" w:rsidP="00742F85">
      <w:pPr>
        <w:spacing w:line="360" w:lineRule="auto"/>
        <w:rPr>
          <w:b/>
          <w:bCs/>
        </w:rPr>
      </w:pPr>
    </w:p>
    <w:p w14:paraId="320E5D71" w14:textId="168A0633" w:rsidR="004D62C0" w:rsidRPr="00496E02" w:rsidRDefault="003A1553" w:rsidP="004756F6">
      <w:pPr>
        <w:spacing w:line="360" w:lineRule="auto"/>
        <w:ind w:firstLine="720"/>
      </w:pPr>
      <w:r w:rsidRPr="00496E02">
        <w:t>In order to situate the discussion and highlight the overall moral significance of trust, and b</w:t>
      </w:r>
      <w:r w:rsidR="004D62C0" w:rsidRPr="00496E02">
        <w:t>efore</w:t>
      </w:r>
      <w:r w:rsidRPr="00496E02">
        <w:t xml:space="preserve"> investigating</w:t>
      </w:r>
      <w:r w:rsidR="004D62C0" w:rsidRPr="00496E02">
        <w:t xml:space="preserve"> the specific moral dimensions of trust and trust relationships</w:t>
      </w:r>
      <w:r w:rsidR="00CA69EB" w:rsidRPr="00496E02">
        <w:t>—</w:t>
      </w:r>
      <w:r w:rsidR="004D62C0" w:rsidRPr="00496E02">
        <w:t>the virtues, obligations</w:t>
      </w:r>
      <w:r w:rsidR="00713DC4">
        <w:t>,</w:t>
      </w:r>
      <w:r w:rsidR="004D62C0" w:rsidRPr="00496E02">
        <w:t xml:space="preserve"> and responsibility of trustors and trustees</w:t>
      </w:r>
      <w:r w:rsidR="00CA69EB" w:rsidRPr="00496E02">
        <w:t>—</w:t>
      </w:r>
      <w:r w:rsidR="004D62C0" w:rsidRPr="00496E02">
        <w:t xml:space="preserve">we shall begin by exploring the value of trust itself. </w:t>
      </w:r>
      <w:r w:rsidRPr="00496E02">
        <w:t>It should be emphasi</w:t>
      </w:r>
      <w:r w:rsidR="00713DC4">
        <w:t>z</w:t>
      </w:r>
      <w:r w:rsidRPr="00496E02">
        <w:t>ed</w:t>
      </w:r>
      <w:r w:rsidR="004D62C0" w:rsidRPr="00496E02">
        <w:t xml:space="preserve"> that the arguments </w:t>
      </w:r>
      <w:r w:rsidRPr="00496E02">
        <w:t xml:space="preserve">presented here </w:t>
      </w:r>
      <w:r w:rsidR="004D62C0" w:rsidRPr="00496E02">
        <w:t xml:space="preserve">for the value of trust refer to justified trust </w:t>
      </w:r>
      <w:r w:rsidR="00A72D75" w:rsidRPr="00496E02">
        <w:t>(</w:t>
      </w:r>
      <w:r w:rsidR="004D62C0" w:rsidRPr="00496E02">
        <w:t>with the possible exception of therapeutic trust</w:t>
      </w:r>
      <w:r w:rsidR="00A72D75" w:rsidRPr="00496E02">
        <w:t>).</w:t>
      </w:r>
      <w:r w:rsidR="004D62C0" w:rsidRPr="00496E02">
        <w:t xml:space="preserve"> While most of the literature focuses on the instrumental value of trust</w:t>
      </w:r>
      <w:r w:rsidR="00713DC4">
        <w:t>—</w:t>
      </w:r>
      <w:r w:rsidR="004D62C0" w:rsidRPr="00496E02">
        <w:t>the many ways in which trust can bring about morally desirable outcomes</w:t>
      </w:r>
      <w:r w:rsidR="00713DC4">
        <w:t>—</w:t>
      </w:r>
      <w:r w:rsidR="004D62C0" w:rsidRPr="00496E02">
        <w:t>some have also argued for the intrinsic value of trust. Colin O’Neil (</w:t>
      </w:r>
      <w:r w:rsidR="004D62C0" w:rsidRPr="00496E02">
        <w:fldChar w:fldCharType="begin"/>
      </w:r>
      <w:r w:rsidR="004D62C0" w:rsidRPr="00496E02">
        <w:instrText xml:space="preserve"> ADDIN ZOTERO_ITEM CSL_CITATION {"citationID":"A8ofAmWe","properties":{"formattedCitation":"(O\\uc0\\u8217{}neil, 2012)","plainCitation":"(O’neil, 2012)","dontUpdate":true,"noteIndex":0},"citationItems":[{"id":262,"uris":["http://zotero.org/users/local/5grjdT5j/items/H5KKRT9M"],"uri":["http://zotero.org/users/local/5grjdT5j/items/H5KKRT9M"],"itemData":{"id":262,"type":"article-journal","container-title":"Philosophy and Public Affairs","DOI":"10.1111/papa.12003","issue":"4","note":"publisher: Wiley-Blackwell","page":"301–333","source":"PhilPapers","title":"Lying, Trust, and Gratitude","volume":"40","author":[{"family":"O'neil","given":"Collin"}],"issued":{"date-parts":[["2012"]]}}}],"schema":"https://github.com/citation-style-language/schema/raw/master/csl-citation.json"} </w:instrText>
      </w:r>
      <w:r w:rsidR="004D62C0" w:rsidRPr="00496E02">
        <w:fldChar w:fldCharType="separate"/>
      </w:r>
      <w:r w:rsidR="004D62C0" w:rsidRPr="00496E02">
        <w:t>2012)</w:t>
      </w:r>
      <w:r w:rsidR="004D62C0" w:rsidRPr="00496E02">
        <w:fldChar w:fldCharType="end"/>
      </w:r>
      <w:r w:rsidR="004D62C0" w:rsidRPr="00496E02">
        <w:t>, for example, aims to provide an account of the significance of trust in contrast with lying</w:t>
      </w:r>
      <w:r w:rsidR="00713DC4">
        <w:t>,</w:t>
      </w:r>
      <w:r w:rsidR="004D62C0" w:rsidRPr="00496E02">
        <w:t xml:space="preserve"> betrayal</w:t>
      </w:r>
      <w:r w:rsidR="00713DC4">
        <w:t>,</w:t>
      </w:r>
      <w:r w:rsidR="004D62C0" w:rsidRPr="00496E02">
        <w:t xml:space="preserve"> and </w:t>
      </w:r>
      <w:r w:rsidR="00713DC4">
        <w:t xml:space="preserve">the </w:t>
      </w:r>
      <w:r w:rsidR="004D62C0" w:rsidRPr="00496E02">
        <w:t xml:space="preserve">abuse of trust. </w:t>
      </w:r>
      <w:r w:rsidR="00752085" w:rsidRPr="00496E02">
        <w:t>When individuals succeed in exploiting trust in communication</w:t>
      </w:r>
      <w:r w:rsidR="00713DC4">
        <w:t>,</w:t>
      </w:r>
      <w:r w:rsidR="00752085" w:rsidRPr="00496E02">
        <w:t xml:space="preserve"> they abuse trust</w:t>
      </w:r>
      <w:r w:rsidR="00194581">
        <w:t>. According to</w:t>
      </w:r>
      <w:r w:rsidR="00752085" w:rsidRPr="00496E02">
        <w:t xml:space="preserve"> </w:t>
      </w:r>
      <w:r w:rsidR="004D62C0" w:rsidRPr="00496E02">
        <w:t>O’Neil,</w:t>
      </w:r>
      <w:r w:rsidR="00194581">
        <w:t xml:space="preserve"> such abuses of trust violate</w:t>
      </w:r>
      <w:r w:rsidR="004D62C0" w:rsidRPr="00496E02">
        <w:t xml:space="preserve"> the </w:t>
      </w:r>
      <w:r w:rsidR="004D62C0" w:rsidRPr="00496E02">
        <w:rPr>
          <w:i/>
          <w:iCs/>
        </w:rPr>
        <w:t>gratitude</w:t>
      </w:r>
      <w:r w:rsidR="004D62C0" w:rsidRPr="00496E02">
        <w:t xml:space="preserve"> that trust</w:t>
      </w:r>
      <w:r w:rsidR="00194581">
        <w:t xml:space="preserve"> demands</w:t>
      </w:r>
      <w:r w:rsidR="004D62C0" w:rsidRPr="00496E02">
        <w:t xml:space="preserve">, and </w:t>
      </w:r>
      <w:r w:rsidR="00194581">
        <w:t xml:space="preserve">it is in this gratitude, he argues, </w:t>
      </w:r>
      <w:r w:rsidR="004D62C0" w:rsidRPr="00496E02">
        <w:t xml:space="preserve">that the distinctive moral value of trust lies. </w:t>
      </w:r>
    </w:p>
    <w:p w14:paraId="6C23920A" w14:textId="4008C404" w:rsidR="004D62C0" w:rsidRPr="00496E02" w:rsidRDefault="004D62C0" w:rsidP="00B2506B">
      <w:pPr>
        <w:spacing w:line="360" w:lineRule="auto"/>
        <w:ind w:firstLine="720"/>
      </w:pPr>
      <w:r w:rsidRPr="00496E02">
        <w:t>More has been said about the instrumental value of trust, ranging from trust’s ability to contribute to ethical and social goods, to the stronger idea that trust is fundamental to some of them. Cooperation, for instance, is impossible without trust, according to Friedrich and Southwood (</w:t>
      </w:r>
      <w:r w:rsidRPr="00496E02">
        <w:fldChar w:fldCharType="begin"/>
      </w:r>
      <w:r w:rsidRPr="00496E02">
        <w:instrText xml:space="preserve"> ADDIN ZOTERO_ITEM CSL_CITATION {"citationID":"gyNrmpd4","properties":{"formattedCitation":"(Friedrich and Southwood, 2011)","plainCitation":"(Friedrich and Southwood, 2011)","dontUpdate":true,"noteIndex":0},"citationItems":[{"id":263,"uris":["http://zotero.org/users/local/5grjdT5j/items/FL943DXB"],"uri":["http://zotero.org/users/local/5grjdT5j/items/FL943DXB"],"itemData":{"id":263,"type":"chapter","container-title":"Promises and Agreements: Philosophical Essays","publisher":"Oxford University Press","source":"PhilPapers","title":"Promises and Trust","editor":[{"family":"Sheinman","given":"Hanoch"}],"author":[{"family":"Friedrich","given":"Daniel"},{"family":"Southwood","given":"Nicholas"}],"issued":{"date-parts":[["2011"]]}}}],"schema":"https://github.com/citation-style-language/schema/raw/master/csl-citation.json"} </w:instrText>
      </w:r>
      <w:r w:rsidRPr="00496E02">
        <w:fldChar w:fldCharType="separate"/>
      </w:r>
      <w:r w:rsidRPr="00496E02">
        <w:rPr>
          <w:noProof/>
        </w:rPr>
        <w:t>2011)</w:t>
      </w:r>
      <w:r w:rsidRPr="00496E02">
        <w:fldChar w:fldCharType="end"/>
      </w:r>
      <w:r w:rsidRPr="00496E02">
        <w:t>, because of the necessity of trust in the promising involved in cooperation. The idea that trust is necessary to cooperation leads directly to the value of trust for social cohesion (to be discussed further below), seen as one of the central good</w:t>
      </w:r>
      <w:r w:rsidR="00A72D75" w:rsidRPr="00496E02">
        <w:t>s</w:t>
      </w:r>
      <w:r w:rsidRPr="00496E02">
        <w:t xml:space="preserve"> for which trust is instrumentally valuable. Hence, Fukuyama </w:t>
      </w:r>
      <w:r w:rsidRPr="00496E02">
        <w:fldChar w:fldCharType="begin"/>
      </w:r>
      <w:r w:rsidRPr="00496E02">
        <w:instrText xml:space="preserve"> ADDIN ZOTERO_ITEM CSL_CITATION {"citationID":"1Z6hX6l3","properties":{"formattedCitation":"(Fukuyama, 1996)","plainCitation":"(Fukuyama, 1996)","dontUpdate":true,"noteIndex":0},"citationItems":[{"id":264,"uris":["http://zotero.org/users/local/5grjdT5j/items/2SPSHLSX"],"uri":["http://zotero.org/users/local/5grjdT5j/items/2SPSHLSX"],"itemData":{"id":264,"type":"book","abstract":"In his bestselling The End of History and the Last Man, Francis Fukuyama argued that the end of the Cold War would also mean the beginning of a struggle for position in the rapidly emerging order of 21st-century capitalism. In Trust, a penetrating assessment of the emerging global economic order \"after History,\" he explains the social principles of economic life and tells us what we need to know to win the coming struggle for world dominance.  Challenging orthodoxies of both the left and right, Fukuyama examines a wide range of national cultures in order to divine the underlying principles that foster social and economic prosperity. Insisting that we cannot divorce economic life from cultural life, he contends that in an era when social capital may be as important as physical capital, only those societies with a high degree of social trust will be able to create the flexible, large-scale business organizations that are needed to compete in the new global economy.  A brilliant study of the interconnectedness of economic life with cultural life, Trust is also an essential antidote to the increasing drift of American culture into extreme forms of individualism, which, if unchecked, will have dire consequences for the nation's economic health.","event-place":"New York, NY","ISBN":"978-0-684-82525-0","language":"Inglese","number-of-pages":"480","publisher":"Free Pr","publisher-place":"New York, NY","source":"Amazon","title":"Trust: The Social Virtues and the Creation of Prosperity","title-short":"Trust","author":[{"family":"Fukuyama","given":"Francis"}],"issued":{"date-parts":[["1996"]],"season":"giugno"}}}],"schema":"https://github.com/citation-style-language/schema/raw/master/csl-citation.json"} </w:instrText>
      </w:r>
      <w:r w:rsidRPr="00496E02">
        <w:fldChar w:fldCharType="separate"/>
      </w:r>
      <w:r w:rsidRPr="00496E02">
        <w:rPr>
          <w:noProof/>
        </w:rPr>
        <w:t>(1996)</w:t>
      </w:r>
      <w:r w:rsidRPr="00496E02">
        <w:fldChar w:fldCharType="end"/>
      </w:r>
      <w:r w:rsidRPr="00496E02">
        <w:t xml:space="preserve"> has observed how societies with a higher degree of trust are stronger, while </w:t>
      </w:r>
      <w:r w:rsidRPr="00496E02">
        <w:fldChar w:fldCharType="begin"/>
      </w:r>
      <w:r w:rsidRPr="00496E02">
        <w:instrText xml:space="preserve"> ADDIN ZOTERO_ITEM CSL_CITATION {"citationID":"uggULFLc","properties":{"formattedCitation":"(Skyrms, 2008)","plainCitation":"(Skyrms, 2008)","dontUpdate":true,"noteIndex":0},"citationItems":[{"id":266,"uris":["http://zotero.org/users/local/5grjdT5j/items/T6JJZDGB"],"uri":["http://zotero.org/users/local/5grjdT5j/items/T6JJZDGB"],"itemData":{"id":266,"type":"article-journal","abstract":"The problem of trust is discussed in terms of David Hume’s meadow-draining example. This is analyzed in terms of rational choice, evolutionary game theory and a dynamic model of social network formation. The kind of explanation that postulates an innate predisposition to trust is seen to be unnecessary when social network dynamics is taken into account.","container-title":"Synthese","DOI":"10.1007/s11229-006-9075-3","ISSN":"1573-0964","issue":"1","journalAbbreviation":"Synthese","language":"en","page":"21-25","source":"Springer Link","title":"Trust, risk, and the social contract","volume":"160","author":[{"family":"Skyrms","given":"Brian"}],"issued":{"date-parts":[["2008",1,1]]}}}],"schema":"https://github.com/citation-style-language/schema/raw/master/csl-citation.json"} </w:instrText>
      </w:r>
      <w:r w:rsidRPr="00496E02">
        <w:fldChar w:fldCharType="separate"/>
      </w:r>
      <w:r w:rsidRPr="00496E02">
        <w:rPr>
          <w:noProof/>
        </w:rPr>
        <w:t>Skyrms (2008)</w:t>
      </w:r>
      <w:r w:rsidRPr="00496E02">
        <w:fldChar w:fldCharType="end"/>
      </w:r>
      <w:r w:rsidRPr="00496E02">
        <w:t xml:space="preserve"> stresses the fact that mutual trust enables the </w:t>
      </w:r>
      <w:r w:rsidR="00407ADC">
        <w:t>“</w:t>
      </w:r>
      <w:r w:rsidRPr="00496E02">
        <w:t>social contract</w:t>
      </w:r>
      <w:r w:rsidR="00407ADC">
        <w:t>”</w:t>
      </w:r>
      <w:r w:rsidRPr="00496E02">
        <w:t xml:space="preserve"> which, according to the theory, is the foundation of organi</w:t>
      </w:r>
      <w:r w:rsidR="00407ADC">
        <w:t>z</w:t>
      </w:r>
      <w:r w:rsidRPr="00496E02">
        <w:t xml:space="preserve">ed society. Conversely, </w:t>
      </w:r>
      <w:r w:rsidRPr="00496E02">
        <w:fldChar w:fldCharType="begin"/>
      </w:r>
      <w:r w:rsidRPr="00496E02">
        <w:instrText xml:space="preserve"> ADDIN ZOTERO_ITEM CSL_CITATION {"citationID":"ZrQcEmvr","properties":{"formattedCitation":"(Alfano, 2016)","plainCitation":"(Alfano, 2016)","dontUpdate":true,"noteIndex":0},"citationItems":[{"id":268,"uris":["http://zotero.org/users/local/5grjdT5j/items/Z3ZMRMBG"],"uri":["http://zotero.org/users/local/5grjdT5j/items/Z3ZMRMBG"],"itemData":{"id":268,"type":"article-journal","container-title":"Russian Sociological Review","issue":"4","page":"30–56","source":"PhilPapers","title":"The Topology of Communities of Trust","volume":"15","author":[{"family":"Alfano","given":"Mark"}],"issued":{"date-parts":[["2016"]]}}}],"schema":"https://github.com/citation-style-language/schema/raw/master/csl-citation.json"} </w:instrText>
      </w:r>
      <w:r w:rsidRPr="00496E02">
        <w:fldChar w:fldCharType="separate"/>
      </w:r>
      <w:r w:rsidRPr="00496E02">
        <w:rPr>
          <w:noProof/>
        </w:rPr>
        <w:t>Alfano (2016)</w:t>
      </w:r>
      <w:r w:rsidRPr="00496E02">
        <w:fldChar w:fldCharType="end"/>
      </w:r>
      <w:r w:rsidRPr="00496E02">
        <w:t xml:space="preserve">, in his investigation of </w:t>
      </w:r>
      <w:r w:rsidR="00407ADC">
        <w:t>“</w:t>
      </w:r>
      <w:r w:rsidRPr="00496E02">
        <w:t>communities of trust</w:t>
      </w:r>
      <w:r w:rsidR="00407ADC">
        <w:t>,”</w:t>
      </w:r>
      <w:r w:rsidRPr="00496E02">
        <w:t xml:space="preserve"> shows how the absence of trust is linked to the absence of important social and individual goods.</w:t>
      </w:r>
    </w:p>
    <w:p w14:paraId="2BA6693E" w14:textId="6791D1B6" w:rsidR="004D62C0" w:rsidRPr="00496E02" w:rsidRDefault="004D62C0" w:rsidP="00B2506B">
      <w:pPr>
        <w:spacing w:line="360" w:lineRule="auto"/>
        <w:ind w:firstLine="720"/>
      </w:pPr>
      <w:r w:rsidRPr="00496E02">
        <w:t>Cooperation typically requires mutual trust, and that is what makes trust so valuable to a society. These dynamics can be observed at all levels and in different groups. More broadly, it can be said that trust is a key element of all relationships, and that the degree of trust that is present will influence the strength and stability of that relationship. Thus</w:t>
      </w:r>
      <w:r w:rsidR="00407ADC">
        <w:t>,</w:t>
      </w:r>
      <w:r w:rsidR="00A727C4" w:rsidRPr="00496E02">
        <w:t xml:space="preserve"> Matthew</w:t>
      </w:r>
      <w:r w:rsidRPr="00496E02">
        <w:t xml:space="preserve"> </w:t>
      </w:r>
      <w:r w:rsidRPr="00496E02">
        <w:fldChar w:fldCharType="begin"/>
      </w:r>
      <w:r w:rsidRPr="00496E02">
        <w:instrText xml:space="preserve"> ADDIN ZOTERO_ITEM CSL_CITATION {"citationID":"LfqCGk40","properties":{"formattedCitation":"(Harding, 2011)","plainCitation":"(Harding, 2011)","dontUpdate":true,"noteIndex":0},"citationItems":[{"id":269,"uris":["http://zotero.org/users/local/5grjdT5j/items/P2MW96WU"],"uri":["http://zotero.org/users/local/5grjdT5j/items/P2MW96WU"],"itemData":{"id":269,"type":"report","abstract":"The essay considers what respect demands and what trust demands when one person trusts another. What respect requires in responding to trust is substantial but limited, ranging from the sharply proscriptive to the mildly prescriptive. What trust requires is, in a sense, unlimited, its content depending on the extent to which the person who trusts, and more importantly the person who is trusted, seek to build a relationship characterised by trust and trustworthiness.","event-place":"Rochester, NY","genre":"SSRN Scholarly Paper","language":"en","note":"DOI: 10.1111/j.1467-9337.2010.00475.x","number":"ID 1772424","publisher":"Social Science Research Network","publisher-place":"Rochester, NY","source":"papers.ssrn.com","title":"Responding to Trust","URL":"https://papers.ssrn.com/abstract=1772424","author":[{"family":"Harding","given":"Matthew"}],"accessed":{"date-parts":[["2021",4,16]]},"issued":{"date-parts":[["2011",2,28]]}}}],"schema":"https://github.com/citation-style-language/schema/raw/master/csl-citation.json"} </w:instrText>
      </w:r>
      <w:r w:rsidRPr="00496E02">
        <w:fldChar w:fldCharType="separate"/>
      </w:r>
      <w:r w:rsidRPr="00496E02">
        <w:rPr>
          <w:noProof/>
        </w:rPr>
        <w:t>Harding (2011)</w:t>
      </w:r>
      <w:r w:rsidRPr="00496E02">
        <w:fldChar w:fldCharType="end"/>
      </w:r>
      <w:r w:rsidRPr="00496E02">
        <w:t xml:space="preserve">, </w:t>
      </w:r>
      <w:r w:rsidR="00407ADC">
        <w:t xml:space="preserve">in </w:t>
      </w:r>
      <w:r w:rsidRPr="00496E02">
        <w:t xml:space="preserve">comparing trust with respect, argues that trust’s demands can be </w:t>
      </w:r>
      <w:r w:rsidRPr="00496E02">
        <w:lastRenderedPageBreak/>
        <w:t>unlimited, while respect makes limited demands</w:t>
      </w:r>
      <w:r w:rsidR="00407ADC">
        <w:t>—</w:t>
      </w:r>
      <w:r w:rsidRPr="00496E02">
        <w:t>and this</w:t>
      </w:r>
      <w:r w:rsidR="00407ADC">
        <w:t>, he suggests,</w:t>
      </w:r>
      <w:r w:rsidRPr="00496E02">
        <w:t xml:space="preserve"> </w:t>
      </w:r>
      <w:r w:rsidR="00407ADC">
        <w:t xml:space="preserve">is </w:t>
      </w:r>
      <w:r w:rsidRPr="00496E02">
        <w:t>one of the reasons why trust can go further than respect in building relationships.</w:t>
      </w:r>
    </w:p>
    <w:p w14:paraId="2A2040AC" w14:textId="5C0FD2A7" w:rsidR="004D62C0" w:rsidRPr="00496E02" w:rsidRDefault="004D62C0" w:rsidP="00B2506B">
      <w:pPr>
        <w:spacing w:line="360" w:lineRule="auto"/>
        <w:ind w:firstLine="720"/>
      </w:pPr>
      <w:r w:rsidRPr="00496E02">
        <w:t>The value of trust is not limited to mutuality. More difficult but equally important are cases in which the majority of the burden lies on one party, such as relationships of care</w:t>
      </w:r>
      <w:r w:rsidR="003C4FF3">
        <w:t>—</w:t>
      </w:r>
      <w:r w:rsidRPr="00496E02">
        <w:t xml:space="preserve">including caring for children </w:t>
      </w:r>
      <w:r w:rsidRPr="00496E02">
        <w:fldChar w:fldCharType="begin"/>
      </w:r>
      <w:r w:rsidRPr="00496E02">
        <w:instrText xml:space="preserve"> ADDIN ZOTERO_ITEM CSL_CITATION {"citationID":"2lVZD3bj","properties":{"formattedCitation":"(McLeod et al., 2019)","plainCitation":"(McLeod et al., 2019)","noteIndex":0},"citationItems":[{"id":272,"uris":["http://zotero.org/users/local/5grjdT5j/items/CFXFLH3D"],"uri":["http://zotero.org/users/local/5grjdT5j/items/CFXFLH3D"],"itemData":{"id":272,"type":"article-journal","abstract":"Berkeley Electronic Press Selected Works, This report, produced for Ontario's Adoptive Parents Association and the Adoption Council of Canada, provides a general argument in favour of expanding parental leave benefits for adoptive parents and kinship and customary caregivers in Canada.","language":"en","source":"works.bepress.com","title":"Time to Attach: An Argument in Favour of EI Attachment Benefits","title-short":"Time to Attach","URL":"https://works.bepress.com/carolyn-mcleod/57/","author":[{"family":"McLeod","given":"Carolyn"},{"family":"Davies","given":"Lorraine"},{"family":"Fice","given":"Nicole"},{"family":"Bruijns","given":"Leona"},{"family":"Cichocki","given":"Emily"},{"family":"Doguoglu","given":"Hale"},{"family":"Stewart","given":"Heather"},{"family":"Horn","given":"Austin"},{"family":"Rekis","given":"Jaclyn"},{"family":"Filipovich","given":"Tara"}],"accessed":{"date-parts":[["2021",4,16]]},"issued":{"date-parts":[["2019"]]}}}],"schema":"https://github.com/citation-style-language/schema/raw/master/csl-citation.json"} </w:instrText>
      </w:r>
      <w:r w:rsidRPr="00496E02">
        <w:fldChar w:fldCharType="separate"/>
      </w:r>
      <w:r w:rsidRPr="00496E02">
        <w:rPr>
          <w:noProof/>
        </w:rPr>
        <w:t>(McLeod et al., 2019)</w:t>
      </w:r>
      <w:r w:rsidRPr="00496E02">
        <w:fldChar w:fldCharType="end"/>
      </w:r>
      <w:r w:rsidRPr="00496E02">
        <w:t>, but also healthcare</w:t>
      </w:r>
      <w:r w:rsidR="003C4FF3">
        <w:t>—</w:t>
      </w:r>
      <w:r w:rsidRPr="00496E02">
        <w:t>and knowledge acquisition. In the case of knowledge</w:t>
      </w:r>
      <w:r w:rsidR="003C4FF3">
        <w:t xml:space="preserve"> </w:t>
      </w:r>
      <w:r w:rsidRPr="00496E02">
        <w:t>acquisition, some degree of trust in the source of knowledge is necessary, and</w:t>
      </w:r>
      <w:r w:rsidR="00750B0D" w:rsidRPr="00496E02">
        <w:t xml:space="preserve"> John</w:t>
      </w:r>
      <w:r w:rsidRPr="00496E02">
        <w:t xml:space="preserve"> </w:t>
      </w:r>
      <w:r w:rsidRPr="00496E02">
        <w:fldChar w:fldCharType="begin"/>
      </w:r>
      <w:r w:rsidRPr="00496E02">
        <w:instrText xml:space="preserve"> ADDIN ZOTERO_ITEM CSL_CITATION {"citationID":"1QbLlLP5","properties":{"formattedCitation":"(Hardwig, 1991)","plainCitation":"(Hardwig, 1991)","dontUpdate":true,"noteIndex":0},"citationItems":[{"id":275,"uris":["http://zotero.org/users/local/5grjdT5j/items/SKGI7MHB"],"uri":["http://zotero.org/users/local/5grjdT5j/items/SKGI7MHB"],"itemData":{"id":275,"type":"article-journal","container-title":"Journal of Philosophy","DOI":"jphil199188121","issue":"12","note":"publisher: Journal of Philosophy Inc","page":"693–708","source":"PhilPapers","title":"The Role of Trust in Knowledge","volume":"88","author":[{"family":"Hardwig","given":"John"}],"issued":{"date-parts":[["1991"]]}}}],"schema":"https://github.com/citation-style-language/schema/raw/master/csl-citation.json"} </w:instrText>
      </w:r>
      <w:r w:rsidRPr="00496E02">
        <w:fldChar w:fldCharType="separate"/>
      </w:r>
      <w:r w:rsidRPr="00496E02">
        <w:rPr>
          <w:noProof/>
        </w:rPr>
        <w:t>Hardwig (1991)</w:t>
      </w:r>
      <w:r w:rsidRPr="00496E02">
        <w:fldChar w:fldCharType="end"/>
      </w:r>
      <w:r w:rsidRPr="00496E02">
        <w:t xml:space="preserve"> has argued that evidence alone is not sufficient for knowledge, while </w:t>
      </w:r>
      <w:r w:rsidR="00750B0D" w:rsidRPr="00496E02">
        <w:t xml:space="preserve">Mark Own </w:t>
      </w:r>
      <w:r w:rsidRPr="00496E02">
        <w:fldChar w:fldCharType="begin"/>
      </w:r>
      <w:r w:rsidRPr="00496E02">
        <w:instrText xml:space="preserve"> ADDIN ZOTERO_ITEM CSL_CITATION {"citationID":"DhkRd329","properties":{"formattedCitation":"(Webb, 1993)","plainCitation":"(Webb, 1993)","dontUpdate":true,"noteIndex":0},"citationItems":[{"id":276,"uris":["http://zotero.org/users/local/5grjdT5j/items/FPX94JDA"],"uri":["http://zotero.org/users/local/5grjdT5j/items/FPX94JDA"],"itemData":{"id":276,"type":"article-journal","container-title":"The Journal of Philosophy","DOI":"10.2307/2940913","ISSN":"0022-362X","issue":"5","note":"publisher: Journal of Philosophy, Inc.","page":"260-270","source":"JSTOR","title":"Why I Know About as Much as You: A Reply to Hardwig","title-short":"Why I Know About as Much as You","volume":"90","author":[{"family":"Webb","given":"Mark Owen"}],"issued":{"date-parts":[["1993"]]}}}],"schema":"https://github.com/citation-style-language/schema/raw/master/csl-citation.json"} </w:instrText>
      </w:r>
      <w:r w:rsidRPr="00496E02">
        <w:fldChar w:fldCharType="separate"/>
      </w:r>
      <w:r w:rsidRPr="00496E02">
        <w:rPr>
          <w:noProof/>
        </w:rPr>
        <w:t>Webb (1993)</w:t>
      </w:r>
      <w:r w:rsidRPr="00496E02">
        <w:fldChar w:fldCharType="end"/>
      </w:r>
      <w:r w:rsidRPr="00496E02">
        <w:t xml:space="preserve"> has expanded on </w:t>
      </w:r>
      <w:proofErr w:type="spellStart"/>
      <w:r w:rsidRPr="00496E02">
        <w:t>Hardwig’s</w:t>
      </w:r>
      <w:proofErr w:type="spellEnd"/>
      <w:r w:rsidRPr="00496E02">
        <w:t xml:space="preserve"> thesis to defend the necessity of trust not only in scientific knowledge, but in knowledge acquisition more generally.</w:t>
      </w:r>
    </w:p>
    <w:p w14:paraId="325DD576" w14:textId="00B5AE3B" w:rsidR="004D62C0" w:rsidRPr="00496E02" w:rsidRDefault="004D62C0" w:rsidP="00B2506B">
      <w:pPr>
        <w:spacing w:line="360" w:lineRule="auto"/>
        <w:ind w:firstLine="720"/>
      </w:pPr>
      <w:r w:rsidRPr="00496E02">
        <w:t xml:space="preserve">Finally, a special place in the domain of the instrumental value of trust is </w:t>
      </w:r>
      <w:r w:rsidR="0006446B" w:rsidRPr="00496E02">
        <w:t xml:space="preserve">occupied by </w:t>
      </w:r>
      <w:r w:rsidR="002C08A4">
        <w:t>“</w:t>
      </w:r>
      <w:r w:rsidRPr="00496E02">
        <w:t>therapeutic trust</w:t>
      </w:r>
      <w:r w:rsidR="002C08A4">
        <w:t>,”</w:t>
      </w:r>
      <w:r w:rsidRPr="00496E02">
        <w:t xml:space="preserve"> which refers to the idea that trust can create goods, such as self-respect </w:t>
      </w:r>
      <w:r w:rsidRPr="00496E02">
        <w:fldChar w:fldCharType="begin"/>
      </w:r>
      <w:r w:rsidRPr="00496E02">
        <w:instrText xml:space="preserve"> ADDIN ZOTERO_ITEM CSL_CITATION {"citationID":"CA7K2091","properties":{"formattedCitation":"(McGeer, 2008)","plainCitation":"(McGeer, 2008)","noteIndex":0},"citationItems":[{"id":277,"uris":["http://zotero.org/users/local/5grjdT5j/items/SWCZNN8A"],"uri":["http://zotero.org/users/local/5grjdT5j/items/SWCZNN8A"],"itemData":{"id":277,"type":"article-journal","abstract":"Philosophers and social scientists have focussed a great deal of attention on our human capacity to trust, but relatively little on the capacity to hope. This is a significant oversight, as hope and trust are importantly interconnected. This paper argues that, even though trust can and does feed our hopes, it is our empowering capacity to hope that significantly underwrites—and makes rational—our capacity to trust.","container-title":"Australasian Journal of Philosophy","DOI":"10.1080/00048400801886413","ISSN":"0004-8402","issue":"2","note":"publisher: Routledge\n_eprint: https://doi.org/10.1080/00048400801886413","page":"237-254","source":"Taylor and Francis+NEJM","title":"Trust, hope and empowerment","volume":"86","author":[{"family":"McGeer","given":"Victoria"}],"issued":{"date-parts":[["2008",6,1]]}}}],"schema":"https://github.com/citation-style-language/schema/raw/master/csl-citation.json"} </w:instrText>
      </w:r>
      <w:r w:rsidRPr="00496E02">
        <w:fldChar w:fldCharType="separate"/>
      </w:r>
      <w:r w:rsidRPr="00496E02">
        <w:rPr>
          <w:noProof/>
        </w:rPr>
        <w:t>(McGeer</w:t>
      </w:r>
      <w:r w:rsidR="002C08A4">
        <w:rPr>
          <w:noProof/>
        </w:rPr>
        <w:t>,</w:t>
      </w:r>
      <w:r w:rsidRPr="00496E02">
        <w:rPr>
          <w:noProof/>
        </w:rPr>
        <w:t xml:space="preserve"> 2008)</w:t>
      </w:r>
      <w:r w:rsidRPr="00496E02">
        <w:fldChar w:fldCharType="end"/>
      </w:r>
      <w:r w:rsidRPr="00496E02">
        <w:t xml:space="preserve"> and even trustworthiness itself</w:t>
      </w:r>
      <w:r w:rsidR="002C08A4">
        <w:t>. A</w:t>
      </w:r>
      <w:r w:rsidRPr="00496E02">
        <w:t xml:space="preserve">s </w:t>
      </w:r>
      <w:r w:rsidRPr="00496E02">
        <w:fldChar w:fldCharType="begin"/>
      </w:r>
      <w:r w:rsidRPr="00496E02">
        <w:instrText xml:space="preserve"> ADDIN ZOTERO_ITEM CSL_CITATION {"citationID":"V0neSDE5","properties":{"formattedCitation":"(McGeer and Pettit, 2017)","plainCitation":"(McGeer and Pettit, 2017)","dontUpdate":true,"noteIndex":0},"citationItems":[{"id":281,"uris":["http://zotero.org/users/local/5grjdT5j/items/FQDTRR54"],"uri":["http://zotero.org/users/local/5grjdT5j/items/FQDTRR54"],"itemData":{"id":281,"type":"chapter","container-title":"The Philosophy of Trust","page":"14–34","publisher":"Oxford University Press","source":"PhilPapers","title":"The Empowering Theory of Trust","author":[{"family":"McGeer","given":"Victoria"},{"family":"Pettit","given":"Philip"}],"editor":[{"family":"Faulkner","given":"Paul"},{"family":"Simpson","given":"Thomas W."}],"issued":{"date-parts":[["2017"]]}}}],"schema":"https://github.com/citation-style-language/schema/raw/master/csl-citation.json"} </w:instrText>
      </w:r>
      <w:r w:rsidRPr="00496E02">
        <w:fldChar w:fldCharType="separate"/>
      </w:r>
      <w:r w:rsidRPr="00496E02">
        <w:rPr>
          <w:noProof/>
        </w:rPr>
        <w:t>McGeer and Pettit (2017)</w:t>
      </w:r>
      <w:r w:rsidRPr="00496E02">
        <w:fldChar w:fldCharType="end"/>
      </w:r>
      <w:r w:rsidRPr="00496E02">
        <w:t xml:space="preserve"> argue, the act of trusting someone has a causal link to their degree of reliability and their desert of trust. In therapeutic trust, trustworthiness is the outcome of</w:t>
      </w:r>
      <w:r w:rsidR="002C08A4">
        <w:t xml:space="preserve"> trust</w:t>
      </w:r>
      <w:r w:rsidRPr="00496E02">
        <w:t>, rather than</w:t>
      </w:r>
      <w:r w:rsidR="002C08A4">
        <w:t xml:space="preserve"> its pre</w:t>
      </w:r>
      <w:r w:rsidRPr="00496E02">
        <w:t xml:space="preserve">existing reason. Being trusted is seen here as a reason to behave in ways that justify trust. In this way, trust also strengthens relationships and forms a virtuous circle of trusting and trustworthy behaviour and expectations. </w:t>
      </w:r>
    </w:p>
    <w:p w14:paraId="54D2D493" w14:textId="13A10F8D" w:rsidR="004D62C0" w:rsidRPr="00496E02" w:rsidRDefault="004D62C0" w:rsidP="00B2506B">
      <w:pPr>
        <w:spacing w:line="360" w:lineRule="auto"/>
      </w:pPr>
    </w:p>
    <w:p w14:paraId="3731FAE6" w14:textId="4FD930B7" w:rsidR="004D62C0" w:rsidRPr="00496E02" w:rsidRDefault="00BD2F34" w:rsidP="007534E5">
      <w:pPr>
        <w:spacing w:line="360" w:lineRule="auto"/>
        <w:rPr>
          <w:b/>
          <w:bCs/>
        </w:rPr>
      </w:pPr>
      <w:r w:rsidRPr="00496E02">
        <w:rPr>
          <w:b/>
          <w:bCs/>
        </w:rPr>
        <w:t>I</w:t>
      </w:r>
      <w:r w:rsidR="001F1678" w:rsidRPr="00496E02">
        <w:rPr>
          <w:b/>
          <w:bCs/>
        </w:rPr>
        <w:t>I</w:t>
      </w:r>
      <w:r w:rsidR="00F914B5" w:rsidRPr="00496E02">
        <w:rPr>
          <w:b/>
          <w:bCs/>
        </w:rPr>
        <w:t xml:space="preserve">I. </w:t>
      </w:r>
      <w:r w:rsidR="001F1678" w:rsidRPr="00496E02">
        <w:rPr>
          <w:b/>
          <w:bCs/>
        </w:rPr>
        <w:t xml:space="preserve">2 </w:t>
      </w:r>
      <w:r w:rsidR="007534E5" w:rsidRPr="00496E02">
        <w:rPr>
          <w:b/>
          <w:bCs/>
        </w:rPr>
        <w:t xml:space="preserve">The </w:t>
      </w:r>
      <w:r w:rsidR="00C668C8">
        <w:rPr>
          <w:b/>
          <w:bCs/>
        </w:rPr>
        <w:t>K</w:t>
      </w:r>
      <w:r w:rsidR="004D62C0" w:rsidRPr="00496E02">
        <w:rPr>
          <w:b/>
          <w:bCs/>
        </w:rPr>
        <w:t xml:space="preserve">ey </w:t>
      </w:r>
      <w:r w:rsidR="00C668C8">
        <w:rPr>
          <w:b/>
          <w:bCs/>
        </w:rPr>
        <w:t>E</w:t>
      </w:r>
      <w:r w:rsidR="004D62C0" w:rsidRPr="00496E02">
        <w:rPr>
          <w:b/>
          <w:bCs/>
        </w:rPr>
        <w:t xml:space="preserve">thical </w:t>
      </w:r>
      <w:r w:rsidR="00C668C8">
        <w:rPr>
          <w:b/>
          <w:bCs/>
        </w:rPr>
        <w:t>F</w:t>
      </w:r>
      <w:r w:rsidR="007534E5" w:rsidRPr="00496E02">
        <w:rPr>
          <w:b/>
          <w:bCs/>
        </w:rPr>
        <w:t>eatures</w:t>
      </w:r>
      <w:r w:rsidR="004D62C0" w:rsidRPr="00496E02">
        <w:rPr>
          <w:b/>
          <w:bCs/>
        </w:rPr>
        <w:t xml:space="preserve"> of </w:t>
      </w:r>
      <w:r w:rsidR="00C668C8">
        <w:rPr>
          <w:b/>
          <w:bCs/>
        </w:rPr>
        <w:t>T</w:t>
      </w:r>
      <w:r w:rsidR="004D62C0" w:rsidRPr="00496E02">
        <w:rPr>
          <w:b/>
          <w:bCs/>
        </w:rPr>
        <w:t>rust</w:t>
      </w:r>
    </w:p>
    <w:p w14:paraId="554AED2E" w14:textId="77777777" w:rsidR="004D62C0" w:rsidRPr="00496E02" w:rsidRDefault="004D62C0" w:rsidP="00B2506B">
      <w:pPr>
        <w:spacing w:line="360" w:lineRule="auto"/>
      </w:pPr>
    </w:p>
    <w:p w14:paraId="787FB068" w14:textId="28B48B55" w:rsidR="004D62C0" w:rsidRPr="00496E02" w:rsidRDefault="004D62C0" w:rsidP="004756F6">
      <w:pPr>
        <w:spacing w:after="240" w:line="360" w:lineRule="auto"/>
        <w:ind w:firstLine="720"/>
      </w:pPr>
      <w:r w:rsidRPr="00496E02">
        <w:t>Three elements of trust</w:t>
      </w:r>
      <w:r w:rsidR="003A1553" w:rsidRPr="00496E02">
        <w:t xml:space="preserve"> can be </w:t>
      </w:r>
      <w:r w:rsidRPr="00496E02">
        <w:t xml:space="preserve">singled out as posing specific ethical questions: vulnerability, moral obligation, and virtue. </w:t>
      </w:r>
      <w:r w:rsidR="003A1553" w:rsidRPr="00496E02">
        <w:t>We shall examine each in turn</w:t>
      </w:r>
      <w:r w:rsidR="00E52155" w:rsidRPr="00496E02">
        <w:t>.</w:t>
      </w:r>
    </w:p>
    <w:p w14:paraId="3679EB08" w14:textId="5E5CDBBE" w:rsidR="004D62C0" w:rsidRPr="00473D6A" w:rsidRDefault="004D62C0" w:rsidP="004756F6">
      <w:pPr>
        <w:pStyle w:val="ListParagraph"/>
        <w:numPr>
          <w:ilvl w:val="0"/>
          <w:numId w:val="1"/>
        </w:numPr>
        <w:spacing w:after="240" w:line="360" w:lineRule="auto"/>
        <w:rPr>
          <w:rFonts w:ascii="Times New Roman" w:hAnsi="Times New Roman" w:cs="Times New Roman"/>
        </w:rPr>
      </w:pPr>
      <w:r w:rsidRPr="00496E02">
        <w:rPr>
          <w:rFonts w:ascii="Times New Roman" w:hAnsi="Times New Roman" w:cs="Times New Roman"/>
          <w:lang w:val="en-GB"/>
        </w:rPr>
        <w:t>Vulnerability</w:t>
      </w:r>
    </w:p>
    <w:p w14:paraId="5C13CEB5" w14:textId="79E1AA5B" w:rsidR="006A1884" w:rsidRPr="00496E02" w:rsidRDefault="003A1553" w:rsidP="004756F6">
      <w:pPr>
        <w:spacing w:after="240" w:line="360" w:lineRule="auto"/>
        <w:ind w:firstLine="720"/>
      </w:pPr>
      <w:r w:rsidRPr="00496E02">
        <w:t xml:space="preserve">One of the central reasons why trust poses ethical worries is the vulnerability inherent in any trusting relationship: by trusting, we make ourselves vulnerable, in various ways, to those we trust. A specific way in which this vulnerability is manifested is the possibility for trust to be </w:t>
      </w:r>
      <w:r w:rsidRPr="00496E02">
        <w:rPr>
          <w:i/>
          <w:iCs/>
        </w:rPr>
        <w:t>betrayed</w:t>
      </w:r>
      <w:r w:rsidRPr="00496E02">
        <w:t>.</w:t>
      </w:r>
      <w:r w:rsidR="00A26418">
        <w:rPr>
          <w:rStyle w:val="FootnoteReference"/>
        </w:rPr>
        <w:footnoteReference w:id="2"/>
      </w:r>
      <w:r w:rsidR="006A1884" w:rsidRPr="00496E02">
        <w:t xml:space="preserve"> In the public domain, the level of trust that the public has in experts and institutions also comes with a corresponding degree of vulnerability</w:t>
      </w:r>
      <w:r w:rsidR="00002C16" w:rsidRPr="00496E02">
        <w:t>.</w:t>
      </w:r>
      <w:r w:rsidR="006A1884" w:rsidRPr="00496E02">
        <w:t xml:space="preserve"> </w:t>
      </w:r>
      <w:r w:rsidR="00002C16" w:rsidRPr="00496E02">
        <w:t>A</w:t>
      </w:r>
      <w:r w:rsidR="006A1884" w:rsidRPr="00496E02">
        <w:t xml:space="preserve">s Katherine Hawley </w:t>
      </w:r>
      <w:r w:rsidR="006A1884" w:rsidRPr="00496E02">
        <w:lastRenderedPageBreak/>
        <w:t xml:space="preserve">puts it, </w:t>
      </w:r>
      <w:r w:rsidR="00473D6A">
        <w:rPr>
          <w:lang w:val="en-US"/>
        </w:rPr>
        <w:t>“</w:t>
      </w:r>
      <w:r w:rsidR="006A1884" w:rsidRPr="00496E02">
        <w:t>trust is needed when we lack knowledge</w:t>
      </w:r>
      <w:r w:rsidR="00473D6A">
        <w:t>”</w:t>
      </w:r>
      <w:r w:rsidR="006A1884" w:rsidRPr="00496E02">
        <w:t xml:space="preserve"> </w:t>
      </w:r>
      <w:r w:rsidR="006A1884" w:rsidRPr="00496E02">
        <w:fldChar w:fldCharType="begin"/>
      </w:r>
      <w:r w:rsidR="006A1884" w:rsidRPr="00496E02">
        <w:instrText xml:space="preserve"> ADDIN ZOTERO_ITEM CSL_CITATION {"citationID":"T3hWP507","properties":{"formattedCitation":"(Hawley, 2014)","plainCitation":"(Hawley, 2014)","dontUpdate":true,"noteIndex":0},"citationItems":[{"id":283,"uris":["http://zotero.org/users/local/5grjdT5j/items/GGWAC4IT"],"uri":["http://zotero.org/users/local/5grjdT5j/items/GGWAC4IT"],"itemData":{"id":283,"type":"article-journal","container-title":"Noûs","DOI":"10.1111/nous.12000","issue":"1","page":"1–20","source":"PhilPapers","title":"Trust, Distrust and Commitment","volume":"48","author":[{"family":"Hawley","given":"Katherine"}],"issued":{"date-parts":[["2014"]]}}}],"schema":"https://github.com/citation-style-language/schema/raw/master/csl-citation.json"} </w:instrText>
      </w:r>
      <w:r w:rsidR="006A1884" w:rsidRPr="00496E02">
        <w:fldChar w:fldCharType="separate"/>
      </w:r>
      <w:r w:rsidR="006A1884" w:rsidRPr="00496E02">
        <w:rPr>
          <w:noProof/>
        </w:rPr>
        <w:t>(Hawley, 2014</w:t>
      </w:r>
      <w:r w:rsidR="00473D6A">
        <w:rPr>
          <w:noProof/>
        </w:rPr>
        <w:t>, p.</w:t>
      </w:r>
      <w:r w:rsidR="006A1884" w:rsidRPr="00496E02">
        <w:rPr>
          <w:noProof/>
        </w:rPr>
        <w:t>1)</w:t>
      </w:r>
      <w:r w:rsidR="006A1884" w:rsidRPr="00496E02">
        <w:fldChar w:fldCharType="end"/>
      </w:r>
      <w:r w:rsidR="00473D6A">
        <w:t>,</w:t>
      </w:r>
      <w:r w:rsidR="006A1884" w:rsidRPr="00496E02">
        <w:t xml:space="preserve"> and that is the position </w:t>
      </w:r>
      <w:r w:rsidR="00571C0E">
        <w:t xml:space="preserve">in which </w:t>
      </w:r>
      <w:r w:rsidR="006A1884" w:rsidRPr="00496E02">
        <w:t xml:space="preserve">the general public typically </w:t>
      </w:r>
      <w:r w:rsidR="00571C0E">
        <w:t>finds  itself</w:t>
      </w:r>
      <w:r w:rsidR="006A1884" w:rsidRPr="00496E02">
        <w:t xml:space="preserve"> with regards to experts.</w:t>
      </w:r>
    </w:p>
    <w:p w14:paraId="0D97B7F1" w14:textId="5864F1D2" w:rsidR="006A1884" w:rsidRPr="00413FEF" w:rsidRDefault="006A1884" w:rsidP="004756F6">
      <w:pPr>
        <w:spacing w:line="360" w:lineRule="auto"/>
        <w:ind w:firstLine="720"/>
      </w:pPr>
      <w:r w:rsidRPr="00496E02">
        <w:t xml:space="preserve">Annette </w:t>
      </w:r>
      <w:r w:rsidRPr="00496E02">
        <w:fldChar w:fldCharType="begin"/>
      </w:r>
      <w:r w:rsidRPr="00496E02">
        <w:instrText xml:space="preserve"> ADDIN ZOTERO_ITEM CSL_CITATION {"citationID":"mTvudkpp","properties":{"formattedCitation":"(Baier, 1986)","plainCitation":"(Baier, 1986)","dontUpdate":true,"noteIndex":0},"citationItems":[{"id":259,"uris":["http://zotero.org/users/local/5grjdT5j/items/U4PFYUM3"],"uri":["http://zotero.org/users/local/5grjdT5j/items/U4PFYUM3"],"itemData":{"id":259,"type":"article-journal","container-title":"Ethics","DOI":"10.1086/292745","issue":"2","note":"publisher: University of Chicago Press","page":"231–260","source":"PhilPapers","title":"Trust and Antitrust","volume":"96","author":[{"family":"Baier","given":"Annette"}],"issued":{"date-parts":[["1986"]]}}}],"schema":"https://github.com/citation-style-language/schema/raw/master/csl-citation.json"} </w:instrText>
      </w:r>
      <w:r w:rsidRPr="00496E02">
        <w:fldChar w:fldCharType="separate"/>
      </w:r>
      <w:r w:rsidRPr="00496E02">
        <w:rPr>
          <w:noProof/>
        </w:rPr>
        <w:t>Baier (1986)</w:t>
      </w:r>
      <w:r w:rsidRPr="00496E02">
        <w:fldChar w:fldCharType="end"/>
      </w:r>
      <w:r w:rsidRPr="00496E02">
        <w:t xml:space="preserve"> is the primary source of the argument that vulnerability is a defining element of trust. In her view, trust</w:t>
      </w:r>
      <w:r w:rsidR="00AE6D73">
        <w:t xml:space="preserve"> </w:t>
      </w:r>
      <w:r w:rsidRPr="00413FEF">
        <w:t xml:space="preserve">related vulnerability is explained by the fact that by trusting others, we make ourselves vulnerable to their </w:t>
      </w:r>
      <w:r w:rsidRPr="00413FEF">
        <w:rPr>
          <w:i/>
          <w:iCs/>
        </w:rPr>
        <w:t>goodwill</w:t>
      </w:r>
      <w:r w:rsidR="00571C0E">
        <w:t>: “</w:t>
      </w:r>
      <w:r w:rsidRPr="00413FEF">
        <w:t>Trust then … is accepted vulnerability to another's possible but not expected ill will (or lack of good will) toward one</w:t>
      </w:r>
      <w:r w:rsidR="00571C0E">
        <w:t>”</w:t>
      </w:r>
      <w:r w:rsidRPr="00413FEF">
        <w:t xml:space="preserve"> (235).</w:t>
      </w:r>
      <w:r w:rsidR="00A26418">
        <w:rPr>
          <w:rStyle w:val="FootnoteReference"/>
        </w:rPr>
        <w:footnoteReference w:id="3"/>
      </w:r>
      <w:r w:rsidRPr="00413FEF">
        <w:t xml:space="preserve"> We expect a certain degree of goodwill in others, but since their goodwill is something we cannot control, on this account, trust includes giving up some power. Baier shows that there are degrees of vulnerability in trust</w:t>
      </w:r>
      <w:r w:rsidR="00AE6D73">
        <w:t xml:space="preserve"> </w:t>
      </w:r>
      <w:r w:rsidRPr="00413FEF">
        <w:t xml:space="preserve">relationships (ranging from infant-parent relationships to the relative safety of contracts), but that in every case trust impacts power positions. Following Baier, Lawrence Becker (1996) has argued for a similar goodwill-based noncognitive account of trust in political philosophy, where trust is based on </w:t>
      </w:r>
      <w:r w:rsidR="00E64DCF">
        <w:t>“</w:t>
      </w:r>
      <w:r w:rsidRPr="00413FEF">
        <w:t>a sense of security about other people</w:t>
      </w:r>
      <w:r w:rsidR="00002C16" w:rsidRPr="00413FEF">
        <w:t>’</w:t>
      </w:r>
      <w:r w:rsidRPr="00413FEF">
        <w:t>s benevolence, conscientiousness, and reciprocity</w:t>
      </w:r>
      <w:r w:rsidR="00E64DCF">
        <w:t>”</w:t>
      </w:r>
      <w:r w:rsidRPr="00413FEF">
        <w:t xml:space="preserve"> (43).</w:t>
      </w:r>
      <w:r w:rsidR="00A26418">
        <w:rPr>
          <w:rStyle w:val="FootnoteReference"/>
        </w:rPr>
        <w:footnoteReference w:id="4"/>
      </w:r>
      <w:r w:rsidRPr="00413FEF">
        <w:t xml:space="preserve"> Conversely, breaches of trust are harmful, in Becker’s view, not only for individuals but for societies, because our responses to them tend to be more </w:t>
      </w:r>
      <w:r w:rsidR="00971D6E">
        <w:t>“</w:t>
      </w:r>
      <w:r w:rsidRPr="00413FEF">
        <w:t>volatile and disruptive</w:t>
      </w:r>
      <w:r w:rsidR="00971D6E">
        <w:t>”</w:t>
      </w:r>
      <w:r w:rsidRPr="00413FEF">
        <w:t xml:space="preserve"> than responses to mere unreliability or lack or credibility. In this context, the most ethically problematic form of trust identified by Becker is </w:t>
      </w:r>
      <w:r w:rsidRPr="00413FEF">
        <w:rPr>
          <w:i/>
          <w:iCs/>
        </w:rPr>
        <w:t>security</w:t>
      </w:r>
      <w:r w:rsidRPr="00413FEF">
        <w:t>, because lies and mistakes are less likely to erode trust if the trustor construes them as well</w:t>
      </w:r>
      <w:r w:rsidR="00002C16" w:rsidRPr="00413FEF">
        <w:t>-</w:t>
      </w:r>
      <w:r w:rsidRPr="00413FEF">
        <w:t xml:space="preserve">meaning, thus introducing a greater degree of malleability in trust, which heightens vulnerability. </w:t>
      </w:r>
    </w:p>
    <w:p w14:paraId="10785446" w14:textId="0C1B9400" w:rsidR="006A1884" w:rsidRPr="00413FEF" w:rsidRDefault="006A1884" w:rsidP="00B2506B">
      <w:pPr>
        <w:spacing w:line="360" w:lineRule="auto"/>
        <w:ind w:firstLine="720"/>
      </w:pPr>
      <w:r w:rsidRPr="00413FEF">
        <w:t xml:space="preserve">The question of the ethics of trust becomes particularly visible when trust is in danger. That is why, as Thomas </w:t>
      </w:r>
      <w:r w:rsidRPr="00C76FB3">
        <w:fldChar w:fldCharType="begin"/>
      </w:r>
      <w:r w:rsidRPr="00413FEF">
        <w:instrText xml:space="preserve"> ADDIN ZOTERO_ITEM CSL_CITATION {"citationID":"5bnwOwZ9","properties":{"formattedCitation":"(Simpson, 2012)","plainCitation":"(Simpson, 2012)","dontUpdate":true,"noteIndex":0},"citationItems":[{"id":243,"uris":["http://zotero.org/users/local/5grjdT5j/items/UNRVPLPL"],"uri":["http://zotero.org/users/local/5grjdT5j/items/UNRVPLPL"],"itemData":{"id":243,"type":"article-journal","abstract":"Trust is difficult to define. Instead of doing so, I propose that the best way to understand the concept is through a genealogical account. I show how a root notion of trust arises out of some basic features of what it is for humans to live socially, in which we rely on others to act cooperatively. I explore how this concept acquires resonances of hope and threat, and how we analogically apply this in related but different contexts. The genealogical account explains both why the notion has such value for us and why it is difficult to define.","container-title":"Pacific Philosophical Quarterly","DOI":"https://doi.org/10.1111/j.1468-0114.2012.01438.x","ISSN":"1468-0114","issue":"4","language":"en","note":"_eprint: https://onlinelibrary.wiley.com/doi/pdf/10.1111/j.1468-0114.2012.01438.x","page":"550-569","source":"Wiley Online Library","title":"What Is Trust?","volume":"93","author":[{"family":"Simpson","given":"Thomas W."}],"issued":{"date-parts":[["2012"]]}}}],"schema":"https://github.com/citation-style-language/schema/raw/master/csl-citation.json"} </w:instrText>
      </w:r>
      <w:r w:rsidRPr="00C76FB3">
        <w:fldChar w:fldCharType="separate"/>
      </w:r>
      <w:r w:rsidRPr="00413FEF">
        <w:rPr>
          <w:noProof/>
        </w:rPr>
        <w:t>Simpson (2012)</w:t>
      </w:r>
      <w:r w:rsidRPr="00C76FB3">
        <w:fldChar w:fldCharType="end"/>
      </w:r>
      <w:r w:rsidRPr="00413FEF">
        <w:t xml:space="preserve"> claims, our nuanced discussions of trust arise when trust is breached. If this is true, then a feature of the vulnerability involved in trust is what C. Thi Nguyen (</w:t>
      </w:r>
      <w:r w:rsidR="00693168" w:rsidRPr="00413FEF">
        <w:t>2022</w:t>
      </w:r>
      <w:r w:rsidRPr="00413FEF">
        <w:t xml:space="preserve">) </w:t>
      </w:r>
      <w:r w:rsidR="00971D6E">
        <w:t>refers to as</w:t>
      </w:r>
      <w:r w:rsidR="00971D6E" w:rsidRPr="00413FEF">
        <w:t xml:space="preserve"> </w:t>
      </w:r>
      <w:r w:rsidRPr="00413FEF">
        <w:t xml:space="preserve">an </w:t>
      </w:r>
      <w:r w:rsidR="00971D6E">
        <w:t>“</w:t>
      </w:r>
      <w:r w:rsidRPr="00413FEF">
        <w:t>unquestioning attitude</w:t>
      </w:r>
      <w:r w:rsidR="00971D6E">
        <w:t>.”</w:t>
      </w:r>
      <w:r w:rsidRPr="00413FEF">
        <w:t xml:space="preserve"> For Nguyen, trust is neither a belief nor a positive attitude, but a suspension of the deliberative process</w:t>
      </w:r>
      <w:r w:rsidR="005410AD">
        <w:t>—such as</w:t>
      </w:r>
      <w:r w:rsidRPr="00413FEF">
        <w:t xml:space="preserve"> when we acquire information: </w:t>
      </w:r>
      <w:r w:rsidR="005410AD">
        <w:t>“</w:t>
      </w:r>
      <w:r w:rsidRPr="00413FEF">
        <w:t>To trust an informational source wholeheartedly is to accept its claims without pausing to worry or evaluate that source’s trustworthiness</w:t>
      </w:r>
      <w:r w:rsidR="005410AD">
        <w:t>.”</w:t>
      </w:r>
      <w:r w:rsidRPr="00413FEF">
        <w:t xml:space="preserve"> When we trust, we simply do not worry about the reliability of the trustee. This form of trust is a key element of </w:t>
      </w:r>
      <w:r w:rsidRPr="00413FEF">
        <w:lastRenderedPageBreak/>
        <w:t>our societies which allows us to outsource much of our deliberation and autonomy. This phenomenon, as Nguyen says, is powerful, necessary, and enormously risky. If trust is unquestioning, the power of the trustee to betray it is much greater.</w:t>
      </w:r>
      <w:r w:rsidR="00A26418">
        <w:rPr>
          <w:rStyle w:val="FootnoteReference"/>
        </w:rPr>
        <w:footnoteReference w:id="5"/>
      </w:r>
      <w:r w:rsidRPr="00413FEF">
        <w:t xml:space="preserve"> At the same time, this allows us to extend our agency (see also Jones</w:t>
      </w:r>
      <w:r w:rsidR="0072793A">
        <w:t>,</w:t>
      </w:r>
      <w:r w:rsidRPr="00413FEF">
        <w:t xml:space="preserve"> 2017) and makes our tasks much more efficient, without the need to stop and check every item of information. </w:t>
      </w:r>
      <w:r w:rsidR="0072793A">
        <w:t>This brings</w:t>
      </w:r>
      <w:r w:rsidRPr="00413FEF">
        <w:t xml:space="preserve"> us to the next point: the desirability of vulnerability in trust. </w:t>
      </w:r>
    </w:p>
    <w:p w14:paraId="7EA09BDF" w14:textId="58B90129" w:rsidR="006A1884" w:rsidRPr="00413FEF" w:rsidRDefault="006A1884" w:rsidP="004756F6">
      <w:pPr>
        <w:spacing w:after="240" w:line="360" w:lineRule="auto"/>
        <w:ind w:firstLine="720"/>
      </w:pPr>
      <w:r w:rsidRPr="00413FEF">
        <w:t xml:space="preserve">Vulnerability in trust, including its element of passivity, is not only a cause for worry, but also a positive moral element of ethical relationships. As Baier shows in a later work (2004), an attitude to mutual vulnerability can be virtuous when it contributes to the </w:t>
      </w:r>
      <w:r w:rsidR="00AE4403">
        <w:t>“</w:t>
      </w:r>
      <w:r w:rsidRPr="00413FEF">
        <w:t>climate of trust</w:t>
      </w:r>
      <w:r w:rsidR="00AE4403">
        <w:t>”</w:t>
      </w:r>
      <w:r w:rsidRPr="00413FEF">
        <w:t xml:space="preserve"> (177).</w:t>
      </w:r>
      <w:r w:rsidR="00002C16" w:rsidRPr="00413FEF">
        <w:t xml:space="preserve"> </w:t>
      </w:r>
      <w:r w:rsidRPr="00413FEF">
        <w:t xml:space="preserve">Acknowledging our power over one another is fundamental to ethics, and trust creates both power and powerlessness. </w:t>
      </w:r>
      <w:r w:rsidRPr="00C76FB3">
        <w:fldChar w:fldCharType="begin"/>
      </w:r>
      <w:r w:rsidRPr="00413FEF">
        <w:instrText xml:space="preserve"> ADDIN ZOTERO_ITEM CSL_CITATION {"citationID":"CMkV5EIZ","properties":{"formattedCitation":"(Dasgupta, 1988)","plainCitation":"(Dasgupta, 1988)","dontUpdate":true,"noteIndex":0},"citationItems":[{"id":335,"uris":["http://zotero.org/users/local/5grjdT5j/items/B4P7WKZF"],"uri":["http://zotero.org/users/local/5grjdT5j/items/B4P7WKZF"],"itemData":{"id":335,"type":"chapter","container-title":"Trust: Making and Breaking Cooperative Relations","page":"49–72","publisher":"Blackwell","source":"PhilPapers","title":"Trust as a Commodity","editor":[{"family":"Gambetta","given":"Diego"}],"author":[{"family":"Dasgupta","given":"Partha"}],"issued":{"date-parts":[["1988"]]}}}],"schema":"https://github.com/citation-style-language/schema/raw/master/csl-citation.json"} </w:instrText>
      </w:r>
      <w:r w:rsidRPr="00C76FB3">
        <w:fldChar w:fldCharType="separate"/>
      </w:r>
      <w:r w:rsidRPr="00413FEF">
        <w:rPr>
          <w:noProof/>
        </w:rPr>
        <w:t>Partha Dasgupta (1988)</w:t>
      </w:r>
      <w:r w:rsidRPr="00C76FB3">
        <w:fldChar w:fldCharType="end"/>
      </w:r>
      <w:r w:rsidRPr="00413FEF">
        <w:t xml:space="preserve"> and Karen </w:t>
      </w:r>
      <w:r w:rsidRPr="00C76FB3">
        <w:fldChar w:fldCharType="begin"/>
      </w:r>
      <w:r w:rsidRPr="00413FEF">
        <w:instrText xml:space="preserve"> ADDIN ZOTERO_ITEM CSL_CITATION {"citationID":"Mw0Un2Xl","properties":{"formattedCitation":"(Jones, 2004)","plainCitation":"(Jones, 2004)","dontUpdate":true,"noteIndex":0},"citationItems":[{"id":377,"uris":["http://zotero.org/users/local/5grjdT5j/items/DXJ4GXYU"],"uri":["http://zotero.org/users/local/5grjdT5j/items/DXJ4GXYU"],"itemData":{"id":377,"type":"chapter","container-title":"Moral Psychology: Feminist Ethics and Social Theory","page":"3–18","publisher":"Rowman &amp; Littlefield","source":"PhilPapers","title":"Trust and Terror","author":[{"family":"Jones","given":"Karen"}],"editor":[{"family":"DesAutels","given":"Peggy"},{"family":"Walker","given":"Margaret Urban"}],"issued":{"date-parts":[["2004"]]}}}],"schema":"https://github.com/citation-style-language/schema/raw/master/csl-citation.json"} </w:instrText>
      </w:r>
      <w:r w:rsidRPr="00C76FB3">
        <w:fldChar w:fldCharType="separate"/>
      </w:r>
      <w:r w:rsidRPr="00413FEF">
        <w:rPr>
          <w:noProof/>
        </w:rPr>
        <w:t>Jones (2004)</w:t>
      </w:r>
      <w:r w:rsidRPr="00C76FB3">
        <w:fldChar w:fldCharType="end"/>
      </w:r>
      <w:r w:rsidRPr="00413FEF">
        <w:t xml:space="preserve"> see the vulnerability of trust as also connected with the passivity of the trustor, which can be virtuous. Jones applies the passivity and vulnerability conditions of trust explicitly to three-place trust (trusting someone in relation to something), defining it as </w:t>
      </w:r>
      <w:r w:rsidR="00AE4403">
        <w:t>“</w:t>
      </w:r>
      <w:r w:rsidRPr="00413FEF">
        <w:t>accepted vulnerability to another person’s power over something one cares about, where (1) the trust</w:t>
      </w:r>
      <w:r w:rsidR="00AE4403">
        <w:t>o</w:t>
      </w:r>
      <w:r w:rsidRPr="00413FEF">
        <w:t>r foregoes searching (at the time) for ways to reduce such vulnerability, and (2) the trust</w:t>
      </w:r>
      <w:r w:rsidR="00AE4403">
        <w:t>o</w:t>
      </w:r>
      <w:r w:rsidRPr="00413FEF">
        <w:t>r maintains normative expectations of the one-trusted that they not use that power to harm what is entrusted</w:t>
      </w:r>
      <w:r w:rsidR="00AE4403">
        <w:t>”</w:t>
      </w:r>
      <w:r w:rsidRPr="00413FEF">
        <w:t xml:space="preserve"> (</w:t>
      </w:r>
      <w:r w:rsidR="00720599">
        <w:t xml:space="preserve">Jones, </w:t>
      </w:r>
      <w:r w:rsidRPr="00413FEF">
        <w:t>2004</w:t>
      </w:r>
      <w:r w:rsidR="00AE4403">
        <w:t>, p.</w:t>
      </w:r>
      <w:r w:rsidRPr="00413FEF">
        <w:t xml:space="preserve"> 6).</w:t>
      </w:r>
      <w:r w:rsidR="00A26418">
        <w:rPr>
          <w:rStyle w:val="FootnoteReference"/>
        </w:rPr>
        <w:footnoteReference w:id="6"/>
      </w:r>
      <w:r w:rsidR="00DF1835">
        <w:t xml:space="preserve"> </w:t>
      </w:r>
    </w:p>
    <w:p w14:paraId="7E3A6C44" w14:textId="45093BB2" w:rsidR="006A1884" w:rsidRPr="00DF1835" w:rsidRDefault="006A1884" w:rsidP="004756F6">
      <w:pPr>
        <w:pStyle w:val="ListParagraph"/>
        <w:numPr>
          <w:ilvl w:val="0"/>
          <w:numId w:val="1"/>
        </w:numPr>
        <w:spacing w:after="240" w:line="360" w:lineRule="auto"/>
        <w:rPr>
          <w:rFonts w:ascii="Times New Roman" w:hAnsi="Times New Roman" w:cs="Times New Roman"/>
        </w:rPr>
      </w:pPr>
      <w:r w:rsidRPr="00413FEF">
        <w:rPr>
          <w:rFonts w:ascii="Times New Roman" w:hAnsi="Times New Roman" w:cs="Times New Roman"/>
        </w:rPr>
        <w:t xml:space="preserve">Moral </w:t>
      </w:r>
      <w:r w:rsidR="00FF5CD2">
        <w:rPr>
          <w:rFonts w:ascii="Times New Roman" w:hAnsi="Times New Roman" w:cs="Times New Roman"/>
        </w:rPr>
        <w:t>O</w:t>
      </w:r>
      <w:proofErr w:type="spellStart"/>
      <w:r w:rsidRPr="00413FEF">
        <w:rPr>
          <w:rFonts w:ascii="Times New Roman" w:hAnsi="Times New Roman" w:cs="Times New Roman"/>
          <w:lang w:val="en-GB"/>
        </w:rPr>
        <w:t>bligations</w:t>
      </w:r>
      <w:proofErr w:type="spellEnd"/>
      <w:r w:rsidRPr="00413FEF">
        <w:rPr>
          <w:rFonts w:ascii="Times New Roman" w:hAnsi="Times New Roman" w:cs="Times New Roman"/>
        </w:rPr>
        <w:t xml:space="preserve"> of </w:t>
      </w:r>
      <w:r w:rsidR="00FF5CD2">
        <w:rPr>
          <w:rFonts w:ascii="Times New Roman" w:hAnsi="Times New Roman" w:cs="Times New Roman"/>
        </w:rPr>
        <w:t>T</w:t>
      </w:r>
      <w:r w:rsidRPr="00413FEF">
        <w:rPr>
          <w:rFonts w:ascii="Times New Roman" w:hAnsi="Times New Roman" w:cs="Times New Roman"/>
        </w:rPr>
        <w:t>rust</w:t>
      </w:r>
    </w:p>
    <w:p w14:paraId="3D2497D6" w14:textId="0BC6D480" w:rsidR="006A1884" w:rsidRPr="00413FEF" w:rsidRDefault="006A1884" w:rsidP="004756F6">
      <w:pPr>
        <w:spacing w:line="360" w:lineRule="auto"/>
        <w:ind w:firstLine="360"/>
      </w:pPr>
      <w:r w:rsidRPr="00413FEF">
        <w:t xml:space="preserve">If trust creates vulnerability, then trustees are immediately </w:t>
      </w:r>
      <w:r w:rsidR="00DF1835">
        <w:t xml:space="preserve">placed </w:t>
      </w:r>
      <w:r w:rsidRPr="00413FEF">
        <w:t xml:space="preserve">in an ethical relationship </w:t>
      </w:r>
      <w:r w:rsidR="00DF1835">
        <w:t>with</w:t>
      </w:r>
      <w:r w:rsidRPr="00413FEF">
        <w:t xml:space="preserve"> trustors: they are able to respond to </w:t>
      </w:r>
      <w:r w:rsidR="00DF1835">
        <w:t>that</w:t>
      </w:r>
      <w:r w:rsidR="00DF1835" w:rsidRPr="00413FEF">
        <w:t xml:space="preserve"> </w:t>
      </w:r>
      <w:r w:rsidRPr="00413FEF">
        <w:t xml:space="preserve">vulnerability </w:t>
      </w:r>
      <w:r w:rsidR="00DF1835">
        <w:t>either by</w:t>
      </w:r>
      <w:r w:rsidRPr="00413FEF">
        <w:t xml:space="preserve"> protect</w:t>
      </w:r>
      <w:r w:rsidR="00DF1835">
        <w:t>ing</w:t>
      </w:r>
      <w:r w:rsidRPr="00413FEF">
        <w:t xml:space="preserve"> or exploit</w:t>
      </w:r>
      <w:r w:rsidR="00DF1835">
        <w:t>ing</w:t>
      </w:r>
      <w:r w:rsidRPr="00413FEF">
        <w:t xml:space="preserve"> it. For this reason, many have looked at trust from the perspective of the moral responsibility and obligation of the trustee. As Løgstrup claimed, trust makes a </w:t>
      </w:r>
      <w:r w:rsidR="00DF1835">
        <w:t>“</w:t>
      </w:r>
      <w:r w:rsidRPr="00413FEF">
        <w:t>demand</w:t>
      </w:r>
      <w:r w:rsidR="00DF1835">
        <w:t>”</w:t>
      </w:r>
      <w:r w:rsidRPr="00413FEF">
        <w:t xml:space="preserve"> on the trustee (see </w:t>
      </w:r>
      <w:r w:rsidRPr="00C76FB3">
        <w:fldChar w:fldCharType="begin"/>
      </w:r>
      <w:r w:rsidRPr="00413FEF">
        <w:instrText xml:space="preserve"> ADDIN ZOTERO_ITEM CSL_CITATION {"citationID":"E1yUtMuR","properties":{"formattedCitation":"(Stern, 2020)","plainCitation":"(Stern, 2020)","dontUpdate":true,"noteIndex":0},"citationItems":[{"id":378,"uris":["http://zotero.org/users/local/5grjdT5j/items/GHR7P532"],"uri":["http://zotero.org/users/local/5grjdT5j/items/GHR7P532"],"itemData":{"id":378,"type":"article-journal","container-title":"International Journal of Philosophical Studies","DOI":"10.1080/09672559.2020.1846282","issue":"5","note":"publisher: Routledge","page":"603–623","source":"PhilPapers","title":"Vulnerability, Trust, and Overdemandingness: Reflections From Løgstrup","title-short":"Vulnerability, Trust, and Overdemandingness","volume":"28","author":[{"family":"Stern","given":"Robert"}],"issued":{"date-parts":[["2020"]]}}}],"schema":"https://github.com/citation-style-language/schema/raw/master/csl-citation.json"} </w:instrText>
      </w:r>
      <w:r w:rsidRPr="00C76FB3">
        <w:fldChar w:fldCharType="separate"/>
      </w:r>
      <w:r w:rsidRPr="00413FEF">
        <w:rPr>
          <w:noProof/>
        </w:rPr>
        <w:t>Stern</w:t>
      </w:r>
      <w:r w:rsidR="00DF1835">
        <w:rPr>
          <w:noProof/>
        </w:rPr>
        <w:t>,</w:t>
      </w:r>
      <w:r w:rsidRPr="00413FEF">
        <w:rPr>
          <w:noProof/>
        </w:rPr>
        <w:t xml:space="preserve"> 2020)</w:t>
      </w:r>
      <w:r w:rsidRPr="00C76FB3">
        <w:fldChar w:fldCharType="end"/>
      </w:r>
      <w:r w:rsidRPr="00413FEF">
        <w:t xml:space="preserve">. Following Martin </w:t>
      </w:r>
      <w:r w:rsidRPr="00C76FB3">
        <w:fldChar w:fldCharType="begin"/>
      </w:r>
      <w:r w:rsidRPr="00413FEF">
        <w:instrText xml:space="preserve"> ADDIN ZOTERO_ITEM CSL_CITATION {"citationID":"HBzuLMW8","properties":{"formattedCitation":"(Hollis, 1998)","plainCitation":"(Hollis, 1998)","dontUpdate":true,"noteIndex":0},"citationItems":[{"id":379,"uris":["http://zotero.org/users/local/5grjdT5j/items/56NQK3GV"],"uri":["http://zotero.org/users/local/5grjdT5j/items/56NQK3GV"],"itemData":{"id":379,"type":"book","publisher":"Cambridge University Press","source":"PhilPapers","title":"Trust Within Reason","author":[{"family":"Hollis","given":"Martin"}],"issued":{"date-parts":[["1998"]]}}}],"schema":"https://github.com/citation-style-language/schema/raw/master/csl-citation.json"} </w:instrText>
      </w:r>
      <w:r w:rsidRPr="00C76FB3">
        <w:fldChar w:fldCharType="separate"/>
      </w:r>
      <w:r w:rsidRPr="00413FEF">
        <w:rPr>
          <w:noProof/>
        </w:rPr>
        <w:t>Hollis's (1998)</w:t>
      </w:r>
      <w:r w:rsidRPr="00C76FB3">
        <w:fldChar w:fldCharType="end"/>
      </w:r>
      <w:r w:rsidRPr="00413FEF">
        <w:t xml:space="preserve"> distinction between the expectations </w:t>
      </w:r>
      <w:r w:rsidR="00DF1835">
        <w:t>“</w:t>
      </w:r>
      <w:r w:rsidRPr="00413FEF">
        <w:t>that</w:t>
      </w:r>
      <w:r w:rsidR="00DF1835">
        <w:t>”</w:t>
      </w:r>
      <w:r w:rsidRPr="00413FEF">
        <w:t xml:space="preserve"> and expectations </w:t>
      </w:r>
      <w:r w:rsidR="00DF1835">
        <w:t>“</w:t>
      </w:r>
      <w:r w:rsidRPr="00413FEF">
        <w:t>o</w:t>
      </w:r>
      <w:r w:rsidR="00DF1835">
        <w:t>”</w:t>
      </w:r>
      <w:r w:rsidRPr="00413FEF">
        <w:t xml:space="preserve">’ involved in trust, we do not only expect that experts will tell us the truth: we also expect it </w:t>
      </w:r>
      <w:r w:rsidRPr="00413FEF">
        <w:rPr>
          <w:i/>
          <w:iCs/>
        </w:rPr>
        <w:t xml:space="preserve">of </w:t>
      </w:r>
      <w:r w:rsidRPr="00413FEF">
        <w:t xml:space="preserve">them. This seems to place some kind of obligation on the trustee to be trustworthy, but where does that obligation come from? </w:t>
      </w:r>
    </w:p>
    <w:p w14:paraId="3FE1C755" w14:textId="2D99C38B" w:rsidR="006A1884" w:rsidRPr="00413FEF" w:rsidRDefault="006A1884" w:rsidP="003A1553">
      <w:pPr>
        <w:spacing w:line="360" w:lineRule="auto"/>
        <w:ind w:firstLine="720"/>
      </w:pPr>
      <w:r w:rsidRPr="00413FEF">
        <w:t xml:space="preserve">One common answer is relational: it is the act of trusting that generates responsibility in the trustee to live up to that demand. This type of account depends on the </w:t>
      </w:r>
      <w:r w:rsidR="00DF1835">
        <w:t>“</w:t>
      </w:r>
      <w:r w:rsidRPr="00413FEF">
        <w:t xml:space="preserve">participant </w:t>
      </w:r>
      <w:r w:rsidRPr="00413FEF">
        <w:lastRenderedPageBreak/>
        <w:t>stance</w:t>
      </w:r>
      <w:r w:rsidR="00DF1835">
        <w:t>”</w:t>
      </w:r>
      <w:r w:rsidRPr="00413FEF">
        <w:t xml:space="preserve"> in trust, proposed by Richard Holton (1994)</w:t>
      </w:r>
      <w:r w:rsidR="00DF1835">
        <w:t>. D</w:t>
      </w:r>
      <w:r w:rsidRPr="00413FEF">
        <w:t xml:space="preserve">rawing on Strawson’s reactive attitudes, Holton suggests that trust is one such </w:t>
      </w:r>
      <w:r w:rsidRPr="00413FEF">
        <w:rPr>
          <w:i/>
          <w:iCs/>
        </w:rPr>
        <w:t>attitude</w:t>
      </w:r>
      <w:r w:rsidRPr="00413FEF">
        <w:t xml:space="preserve">, in which we  are not merely observers of another’s actions, but engaged in them, prepared to feel betrayal or gratitude (this also differentiates trust from reliance, in Holton’s view). It </w:t>
      </w:r>
      <w:r w:rsidR="00DF1835">
        <w:t>should</w:t>
      </w:r>
      <w:r w:rsidRPr="00413FEF">
        <w:t xml:space="preserve"> be noted that Holton</w:t>
      </w:r>
      <w:r w:rsidR="00DF1835">
        <w:t xml:space="preserve"> offer</w:t>
      </w:r>
      <w:r w:rsidRPr="00413FEF">
        <w:t>s a three-place account of trust, which means that we trust other</w:t>
      </w:r>
      <w:r w:rsidR="00CE028E">
        <w:t>s</w:t>
      </w:r>
      <w:r w:rsidRPr="00413FEF">
        <w:t xml:space="preserve"> to do some things, but not others in general (</w:t>
      </w:r>
      <w:r w:rsidR="00DF1835">
        <w:t xml:space="preserve">Holton, </w:t>
      </w:r>
      <w:r w:rsidRPr="00413FEF">
        <w:t>1994</w:t>
      </w:r>
      <w:r w:rsidR="00DF1835">
        <w:t>, p.</w:t>
      </w:r>
      <w:r w:rsidRPr="00413FEF">
        <w:t xml:space="preserve">4). We can </w:t>
      </w:r>
      <w:r w:rsidR="007626E6">
        <w:t>adopt</w:t>
      </w:r>
      <w:r w:rsidR="007626E6" w:rsidRPr="00413FEF">
        <w:t xml:space="preserve"> </w:t>
      </w:r>
      <w:r w:rsidRPr="00413FEF">
        <w:t xml:space="preserve">a participant stance toward experts in public life, and the three-place specification makes this account applicable, insofar as we trust experts to tell us the truth about scientific information, but not </w:t>
      </w:r>
      <w:r w:rsidR="007626E6">
        <w:t xml:space="preserve">necessarily </w:t>
      </w:r>
      <w:r w:rsidRPr="00413FEF">
        <w:t xml:space="preserve"> in other domains. Taking the participant stance means that we hold others </w:t>
      </w:r>
      <w:r w:rsidRPr="00413FEF">
        <w:rPr>
          <w:i/>
          <w:iCs/>
        </w:rPr>
        <w:t>responsible</w:t>
      </w:r>
      <w:r w:rsidRPr="00413FEF">
        <w:t xml:space="preserve"> for what we trust them to do </w:t>
      </w:r>
      <w:r w:rsidRPr="00C76FB3">
        <w:fldChar w:fldCharType="begin"/>
      </w:r>
      <w:r w:rsidRPr="00413FEF">
        <w:instrText xml:space="preserve"> ADDIN ZOTERO_ITEM CSL_CITATION {"citationID":"ustpS350","properties":{"formattedCitation":"(Walker, 2006)","plainCitation":"(Walker, 2006)","dontUpdate":true,"noteIndex":0},"citationItems":[{"id":336,"uris":["http://zotero.org/users/local/5grjdT5j/items/D4GM2HPC"],"uri":["http://zotero.org/users/local/5grjdT5j/items/D4GM2HPC"],"itemData":{"id":336,"type":"book","publisher":"Cambridge University Press","source":"PhilPapers","title":"Moral Repair: Reconstructing Moral Relations After Wrongdoing","title-short":"Moral Repair","author":[{"family":"Walker","given":"Margaret Urban"}],"issued":{"date-parts":[["2006"]]}}}],"schema":"https://github.com/citation-style-language/schema/raw/master/csl-citation.json"} </w:instrText>
      </w:r>
      <w:r w:rsidRPr="00C76FB3">
        <w:fldChar w:fldCharType="separate"/>
      </w:r>
      <w:r w:rsidRPr="00413FEF">
        <w:rPr>
          <w:noProof/>
        </w:rPr>
        <w:t>(Hollis</w:t>
      </w:r>
      <w:r w:rsidR="007626E6">
        <w:rPr>
          <w:noProof/>
        </w:rPr>
        <w:t>,</w:t>
      </w:r>
      <w:r w:rsidRPr="00413FEF">
        <w:rPr>
          <w:noProof/>
        </w:rPr>
        <w:t xml:space="preserve"> 1998)</w:t>
      </w:r>
      <w:r w:rsidRPr="00C76FB3">
        <w:fldChar w:fldCharType="end"/>
      </w:r>
      <w:r w:rsidRPr="00413FEF">
        <w:t xml:space="preserve">. According to Margaret Urban Walker (2006), the responsibility we ascribe on the trustee comes not only from our expectation that they will act in a certain way, but from our belief that they </w:t>
      </w:r>
      <w:r w:rsidRPr="00413FEF">
        <w:rPr>
          <w:i/>
          <w:iCs/>
        </w:rPr>
        <w:t>ought</w:t>
      </w:r>
      <w:r w:rsidRPr="00413FEF">
        <w:t xml:space="preserve"> to act that way. This way of defining trust, based on what we believe the trustee should do, as we saw in </w:t>
      </w:r>
      <w:r w:rsidR="007626E6">
        <w:t>Section</w:t>
      </w:r>
      <w:r w:rsidR="007626E6" w:rsidRPr="00413FEF">
        <w:t xml:space="preserve"> </w:t>
      </w:r>
      <w:r w:rsidRPr="00413FEF">
        <w:t xml:space="preserve">III, is known as the </w:t>
      </w:r>
      <w:r w:rsidR="007626E6">
        <w:t>“</w:t>
      </w:r>
      <w:r w:rsidRPr="00413FEF">
        <w:t>normative expectation theory</w:t>
      </w:r>
      <w:r w:rsidR="007626E6">
        <w:t>.”</w:t>
      </w:r>
      <w:r w:rsidRPr="00413FEF">
        <w:t xml:space="preserve"> While this theory is dependent on the trustor’s attitude, it is indifferent to the reason why the trustee fulfils the trust-expectation</w:t>
      </w:r>
      <w:r w:rsidR="007626E6">
        <w:t>—</w:t>
      </w:r>
      <w:r w:rsidRPr="00413FEF">
        <w:t xml:space="preserve">as long as she does. </w:t>
      </w:r>
    </w:p>
    <w:p w14:paraId="53A8D282" w14:textId="5CA1588F" w:rsidR="006A1884" w:rsidRPr="00413FEF" w:rsidRDefault="006A1884" w:rsidP="00B2506B">
      <w:pPr>
        <w:spacing w:line="360" w:lineRule="auto"/>
        <w:ind w:firstLine="720"/>
      </w:pPr>
      <w:r w:rsidRPr="00413FEF">
        <w:t xml:space="preserve">For this reason, the normative expectation theory is different from theories that focus more closely on the relationship between trustor and trustee as the source of trust-related obligations, and which ascribe such obligation to the trustee’s awareness of trust being placed on her. These are known as </w:t>
      </w:r>
      <w:r w:rsidR="008A2789">
        <w:t>“</w:t>
      </w:r>
      <w:r w:rsidRPr="00413FEF">
        <w:t>trust responsive</w:t>
      </w:r>
      <w:r w:rsidR="008A2789">
        <w:t>”</w:t>
      </w:r>
      <w:r w:rsidRPr="00413FEF">
        <w:t xml:space="preserve"> theories; </w:t>
      </w:r>
      <w:r w:rsidR="008A2789">
        <w:t>(</w:t>
      </w:r>
      <w:r w:rsidRPr="00413FEF">
        <w:t xml:space="preserve">see </w:t>
      </w:r>
      <w:r w:rsidRPr="00C76FB3">
        <w:fldChar w:fldCharType="begin"/>
      </w:r>
      <w:r w:rsidRPr="00413FEF">
        <w:instrText xml:space="preserve"> ADDIN ZOTERO_ITEM CSL_CITATION {"citationID":"6TNLvH6x","properties":{"formattedCitation":"(Jones, 2012)","plainCitation":"(Jones, 2012)","dontUpdate":true,"noteIndex":0},"citationItems":[{"id":324,"uris":["http://zotero.org/users/local/5grjdT5j/items/K8JC6AQS"],"uri":["http://zotero.org/users/local/5grjdT5j/items/K8JC6AQS"],"itemData":{"id":324,"type":"article-journal","container-title":"Ethics","DOI":"10.1086/667838","issue":"1","page":"61–85","source":"PhilPapers","title":"Trustworthiness","volume":"123","author":[{"family":"Jones","given":"Karen"}],"issued":{"date-parts":[["2012"]]}}}],"schema":"https://github.com/citation-style-language/schema/raw/master/csl-citation.json"} </w:instrText>
      </w:r>
      <w:r w:rsidRPr="00C76FB3">
        <w:fldChar w:fldCharType="separate"/>
      </w:r>
      <w:r w:rsidRPr="00413FEF">
        <w:rPr>
          <w:noProof/>
        </w:rPr>
        <w:t>Jones</w:t>
      </w:r>
      <w:r w:rsidR="008A2789">
        <w:rPr>
          <w:noProof/>
        </w:rPr>
        <w:t>,</w:t>
      </w:r>
      <w:r w:rsidRPr="00413FEF">
        <w:rPr>
          <w:noProof/>
        </w:rPr>
        <w:t>201</w:t>
      </w:r>
      <w:r w:rsidR="008B3ABF" w:rsidRPr="00413FEF">
        <w:rPr>
          <w:noProof/>
        </w:rPr>
        <w:t>3</w:t>
      </w:r>
      <w:r w:rsidRPr="00C76FB3">
        <w:fldChar w:fldCharType="end"/>
      </w:r>
      <w:r w:rsidRPr="00413FEF">
        <w:t xml:space="preserve">; </w:t>
      </w:r>
      <w:r w:rsidRPr="00C76FB3">
        <w:fldChar w:fldCharType="begin"/>
      </w:r>
      <w:r w:rsidRPr="00413FEF">
        <w:instrText xml:space="preserve"> ADDIN ZOTERO_ITEM CSL_CITATION {"citationID":"aCjF3VBr","properties":{"formattedCitation":"(McGeer and Pettit, 2017)","plainCitation":"(McGeer and Pettit, 2017)","dontUpdate":true,"noteIndex":0},"citationItems":[{"id":281,"uris":["http://zotero.org/users/local/5grjdT5j/items/FQDTRR54"],"uri":["http://zotero.org/users/local/5grjdT5j/items/FQDTRR54"],"itemData":{"id":281,"type":"chapter","container-title":"The Philosophy of Trust","page":"14–34","publisher":"Oxford University Press","source":"PhilPapers","title":"The Empowering Theory of Trust","author":[{"family":"McGeer","given":"Victoria"},{"family":"Pettit","given":"Philip"}],"editor":[{"family":"Faulkner","given":"Paul"},{"family":"Simpson","given":"Thomas W."}],"issued":{"date-parts":[["2017"]]}}}],"schema":"https://github.com/citation-style-language/schema/raw/master/csl-citation.json"} </w:instrText>
      </w:r>
      <w:r w:rsidRPr="00C76FB3">
        <w:fldChar w:fldCharType="separate"/>
      </w:r>
      <w:r w:rsidRPr="00413FEF">
        <w:rPr>
          <w:noProof/>
        </w:rPr>
        <w:t xml:space="preserve">McGeer </w:t>
      </w:r>
      <w:r w:rsidR="008A2789">
        <w:rPr>
          <w:noProof/>
        </w:rPr>
        <w:t>&amp;</w:t>
      </w:r>
      <w:r w:rsidR="008A2789" w:rsidRPr="00413FEF">
        <w:rPr>
          <w:noProof/>
        </w:rPr>
        <w:t xml:space="preserve"> </w:t>
      </w:r>
      <w:r w:rsidRPr="00413FEF">
        <w:rPr>
          <w:noProof/>
        </w:rPr>
        <w:t>Pettit</w:t>
      </w:r>
      <w:r w:rsidR="008A2789">
        <w:rPr>
          <w:noProof/>
        </w:rPr>
        <w:t>,</w:t>
      </w:r>
      <w:r w:rsidRPr="00413FEF">
        <w:rPr>
          <w:noProof/>
        </w:rPr>
        <w:t>2017)</w:t>
      </w:r>
      <w:r w:rsidRPr="00C76FB3">
        <w:fldChar w:fldCharType="end"/>
      </w:r>
      <w:r w:rsidRPr="00413FEF">
        <w:t xml:space="preserve">. The reason for being trustworthy is that one is being counted on: the trustee is </w:t>
      </w:r>
      <w:r w:rsidRPr="00413FEF">
        <w:rPr>
          <w:i/>
          <w:iCs/>
        </w:rPr>
        <w:t>responsive</w:t>
      </w:r>
      <w:r w:rsidRPr="00413FEF">
        <w:t xml:space="preserve"> to the trust placed on her. Note that this does not create an obligation to be trustworthy; it does, however, account for the moral dimension of trust through the responsibility placed by the act of trusting on the trustee, and gives the trustee prima facie reasons to be trustworthy. Also</w:t>
      </w:r>
      <w:r w:rsidR="000719A6">
        <w:t>,</w:t>
      </w:r>
      <w:r w:rsidRPr="00413FEF">
        <w:t xml:space="preserve"> focusing on the relationship of trust, and on the trustee’s awareness of being trusted, is Russell Hardin’s (2002) suggestion that the trustee is motivated by the thought that the trustor is relying on her, but adding a further normative element: the trustee, when trust is well-placed, </w:t>
      </w:r>
      <w:r w:rsidR="000719A6">
        <w:t>“</w:t>
      </w:r>
      <w:r w:rsidRPr="00413FEF">
        <w:t>encapsulates</w:t>
      </w:r>
      <w:r w:rsidR="000719A6">
        <w:t>”</w:t>
      </w:r>
      <w:r w:rsidRPr="00413FEF">
        <w:t xml:space="preserve"> part of the trustor’s interests into her own, and is thus motivated by a combination of inherited interests and the willingness to maintain the relationship with the trustor. </w:t>
      </w:r>
    </w:p>
    <w:p w14:paraId="0EA09BC6" w14:textId="63063292" w:rsidR="006A1884" w:rsidRPr="00413FEF" w:rsidRDefault="006A1884" w:rsidP="00B2506B">
      <w:pPr>
        <w:spacing w:line="360" w:lineRule="auto"/>
        <w:ind w:firstLine="720"/>
      </w:pPr>
      <w:r w:rsidRPr="00413FEF">
        <w:t xml:space="preserve">Trust-responsive theories may give the impression that the moral element of trust is primarily second-personal. Paul </w:t>
      </w:r>
      <w:r w:rsidRPr="00C76FB3">
        <w:fldChar w:fldCharType="begin"/>
      </w:r>
      <w:r w:rsidRPr="00413FEF">
        <w:instrText xml:space="preserve"> ADDIN ZOTERO_ITEM CSL_CITATION {"citationID":"RO60vkZV","properties":{"formattedCitation":"(Faulkner, 2014)","plainCitation":"(Faulkner, 2014)","dontUpdate":true,"noteIndex":0},"citationItems":[{"id":337,"uris":["http://zotero.org/users/local/5grjdT5j/items/FBH2T8ZK"],"uri":["http://zotero.org/users/local/5grjdT5j/items/FBH2T8ZK"],"itemData":{"id":337,"type":"article-journal","container-title":"Synthese","DOI":"10.1007/s11229-012-0103-1","issue":"9","note":"publisher: Springer Verlag","source":"PhilPapers","title":"The Practical Rationality of Trust","volume":"191","author":[{"family":"Faulkner","given":"Paul"}],"issued":{"date-parts":[["2014"]]}}}],"schema":"https://github.com/citation-style-language/schema/raw/master/csl-citation.json"} </w:instrText>
      </w:r>
      <w:r w:rsidRPr="00C76FB3">
        <w:fldChar w:fldCharType="separate"/>
      </w:r>
      <w:r w:rsidRPr="00413FEF">
        <w:rPr>
          <w:noProof/>
        </w:rPr>
        <w:t>Faulkner (2014)</w:t>
      </w:r>
      <w:r w:rsidRPr="00C76FB3">
        <w:fldChar w:fldCharType="end"/>
      </w:r>
      <w:r w:rsidRPr="00413FEF">
        <w:t xml:space="preserve"> has reacted against this possibility. According to </w:t>
      </w:r>
      <w:r w:rsidR="00C00CC4" w:rsidRPr="00413FEF">
        <w:t>Faulkner</w:t>
      </w:r>
      <w:r w:rsidRPr="00413FEF">
        <w:t>, trust generates not only responsibility but obligation</w:t>
      </w:r>
      <w:r w:rsidR="000719A6">
        <w:t>—</w:t>
      </w:r>
      <w:r w:rsidRPr="00413FEF">
        <w:t>not, however, because of the demand placed on the trustee by the trustor. Drawing on Løgstrup, Faulkner argues that the fundamental obligation for being trustworthy</w:t>
      </w:r>
      <w:r w:rsidR="000719A6">
        <w:t>—</w:t>
      </w:r>
      <w:r w:rsidRPr="00413FEF">
        <w:t>here, for telling the truth</w:t>
      </w:r>
      <w:r w:rsidR="000719A6">
        <w:t>—</w:t>
      </w:r>
      <w:r w:rsidRPr="00413FEF">
        <w:t xml:space="preserve">is a </w:t>
      </w:r>
      <w:r w:rsidRPr="00413FEF">
        <w:lastRenderedPageBreak/>
        <w:t xml:space="preserve">response to the need of the trustee for trustworthiness. The awareness of trust being placed on the trustee </w:t>
      </w:r>
      <w:r w:rsidR="000719A6">
        <w:t>“</w:t>
      </w:r>
      <w:r w:rsidRPr="00413FEF">
        <w:t>merely makes [the need] salient</w:t>
      </w:r>
      <w:r w:rsidR="000719A6">
        <w:t>”</w:t>
      </w:r>
      <w:r w:rsidRPr="00413FEF">
        <w:t xml:space="preserve"> (341). The trustee is bound not only to the trustor, but to her moral commitments to the situation: </w:t>
      </w:r>
      <w:r w:rsidR="000719A6">
        <w:t>“</w:t>
      </w:r>
      <w:r w:rsidRPr="00413FEF">
        <w:t>What the trusted should do in the trust situation is determined by how things are in the world rather than by the attitudes of the trusting party</w:t>
      </w:r>
      <w:r w:rsidR="000719A6">
        <w:t>”</w:t>
      </w:r>
      <w:r w:rsidRPr="00413FEF">
        <w:t xml:space="preserve"> (342).</w:t>
      </w:r>
    </w:p>
    <w:p w14:paraId="4284A68A" w14:textId="3C1D12EA" w:rsidR="006A1884" w:rsidRPr="00413FEF" w:rsidRDefault="006A1884" w:rsidP="00B2506B">
      <w:pPr>
        <w:spacing w:line="360" w:lineRule="auto"/>
        <w:ind w:firstLine="720"/>
      </w:pPr>
      <w:r w:rsidRPr="00413FEF">
        <w:t>Faulkner’s theory can be placed between two opposed positions, which take trust-related obligation to be based, on the one end, on trust relationships, and on the other, on a commitment to the facts or deeds in question, regardless of whether one is trusted or not. These are the views supported</w:t>
      </w:r>
      <w:r w:rsidR="008508CE">
        <w:t>, for example,</w:t>
      </w:r>
      <w:r w:rsidRPr="00413FEF">
        <w:t xml:space="preserve"> by Peter Graham (2012), who argues that it</w:t>
      </w:r>
      <w:r w:rsidR="008508CE">
        <w:t xml:space="preserve"> i</w:t>
      </w:r>
      <w:r w:rsidRPr="00413FEF">
        <w:t>s a commitment to truthfulness</w:t>
      </w:r>
      <w:r w:rsidR="000F0A65">
        <w:t>—</w:t>
      </w:r>
      <w:r w:rsidRPr="00413FEF">
        <w:t>rather than to being believed</w:t>
      </w:r>
      <w:r w:rsidR="000F0A65">
        <w:t>—</w:t>
      </w:r>
      <w:r w:rsidRPr="00413FEF">
        <w:t>that</w:t>
      </w:r>
      <w:r w:rsidR="000F0A65">
        <w:t xml:space="preserve"> i</w:t>
      </w:r>
      <w:r w:rsidRPr="00413FEF">
        <w:t xml:space="preserve">s at stake in a trustworthy source, and </w:t>
      </w:r>
      <w:r w:rsidR="000F0A65">
        <w:t xml:space="preserve">by </w:t>
      </w:r>
      <w:r w:rsidRPr="00413FEF">
        <w:t>Mona Simion (2020)</w:t>
      </w:r>
      <w:r w:rsidR="000F0A65">
        <w:t>,</w:t>
      </w:r>
      <w:r w:rsidRPr="00413FEF">
        <w:t xml:space="preserve"> who argues that while speakers do care about being believed, they also</w:t>
      </w:r>
      <w:r w:rsidR="000F0A65">
        <w:t>,</w:t>
      </w:r>
      <w:r w:rsidRPr="00413FEF">
        <w:t xml:space="preserve"> at the same time</w:t>
      </w:r>
      <w:r w:rsidR="000F0A65">
        <w:t>,</w:t>
      </w:r>
      <w:r w:rsidRPr="00413FEF">
        <w:t xml:space="preserve"> care about truth, and</w:t>
      </w:r>
      <w:r w:rsidR="000F0A65">
        <w:t xml:space="preserve"> that</w:t>
      </w:r>
      <w:r w:rsidRPr="00413FEF">
        <w:t xml:space="preserve"> the latter commitment, is more relevant to their trustworthiness than the amount of trust placed </w:t>
      </w:r>
      <w:r w:rsidR="000F0A65">
        <w:t>in</w:t>
      </w:r>
      <w:r w:rsidR="000F0A65" w:rsidRPr="00413FEF">
        <w:t xml:space="preserve"> </w:t>
      </w:r>
      <w:r w:rsidRPr="00413FEF">
        <w:t>them. Finally, Carolyn McLeod (2002) takes a commitment to her own integrity on the trustee’s part to be the key element to explain the expectation on the part of the trustor.</w:t>
      </w:r>
    </w:p>
    <w:p w14:paraId="75F5CB08" w14:textId="0E7A08F9" w:rsidR="006A1884" w:rsidRPr="00413FEF" w:rsidRDefault="006A1884" w:rsidP="00B2506B">
      <w:pPr>
        <w:spacing w:line="360" w:lineRule="auto"/>
        <w:ind w:firstLine="720"/>
      </w:pPr>
      <w:r w:rsidRPr="00413FEF">
        <w:t>In critici</w:t>
      </w:r>
      <w:r w:rsidR="007469F0">
        <w:t>z</w:t>
      </w:r>
      <w:r w:rsidRPr="00413FEF">
        <w:t xml:space="preserve">ing the participant stance, Philip Nickel (2007) and Katherine Hawley (2014) also offer different accounts of the responsibility involved in trust. Hawley, while considering obligation as an important element of trust, concludes that it is too </w:t>
      </w:r>
      <w:r w:rsidR="007469F0">
        <w:t>“</w:t>
      </w:r>
      <w:r w:rsidRPr="00413FEF">
        <w:t>thin</w:t>
      </w:r>
      <w:r w:rsidR="007469F0">
        <w:t>”</w:t>
      </w:r>
      <w:r w:rsidRPr="00413FEF">
        <w:t xml:space="preserve"> to be able to define the specificity of the moral dimension of trust: we can fail in our obligations in many ways, without betraying trust (19)</w:t>
      </w:r>
      <w:r w:rsidR="007469F0">
        <w:t>.I I</w:t>
      </w:r>
      <w:r w:rsidRPr="00413FEF">
        <w:t xml:space="preserve">n the sphere of virtue, too, being trustworthy and meeting one’s obligations, again, do not always coincide (11). For these reasons, after considering the partial overlapping of obligation and commitment, Hawley concludes that the responsibility involved in trust is better explained by the idea that </w:t>
      </w:r>
      <w:r w:rsidR="007469F0">
        <w:t>“</w:t>
      </w:r>
      <w:r w:rsidRPr="00413FEF">
        <w:t>to trust someone to do something is to believe that she has a commitment to doing it, and to rely upon her to meet that commitment</w:t>
      </w:r>
      <w:r w:rsidR="007469F0">
        <w:t>”</w:t>
      </w:r>
      <w:r w:rsidRPr="00413FEF">
        <w:t xml:space="preserve"> (10). This account is well suited to explain trust in experts, because of their general commitment to the scientific endeavour</w:t>
      </w:r>
      <w:r w:rsidR="007469F0">
        <w:t>,</w:t>
      </w:r>
      <w:r w:rsidRPr="00413FEF">
        <w:t xml:space="preserve"> and organization</w:t>
      </w:r>
      <w:r w:rsidR="006271E9" w:rsidRPr="00413FEF">
        <w:t>s</w:t>
      </w:r>
      <w:r w:rsidRPr="00413FEF">
        <w:t xml:space="preserve"> </w:t>
      </w:r>
      <w:r w:rsidR="006271E9" w:rsidRPr="00413FEF">
        <w:t xml:space="preserve">they </w:t>
      </w:r>
      <w:r w:rsidRPr="00413FEF">
        <w:t xml:space="preserve">are part </w:t>
      </w:r>
      <w:r w:rsidR="006271E9" w:rsidRPr="00413FEF">
        <w:t xml:space="preserve">of </w:t>
      </w:r>
      <w:r w:rsidRPr="00413FEF">
        <w:t>(see Kelsall</w:t>
      </w:r>
      <w:r w:rsidR="007469F0">
        <w:t xml:space="preserve">, </w:t>
      </w:r>
      <w:r w:rsidRPr="00413FEF">
        <w:t>202</w:t>
      </w:r>
      <w:r w:rsidR="008B3ABF" w:rsidRPr="00413FEF">
        <w:t>1</w:t>
      </w:r>
      <w:r w:rsidR="007469F0">
        <w:t>, p.</w:t>
      </w:r>
      <w:r w:rsidRPr="00413FEF">
        <w:t xml:space="preserve"> 3). This, also, does not require experts to be committed to the public: differently from Faulkner, Hawley does not take the relationship to be crucial, since the commitment does not have to be to the trustor, or to anything that concerns her, nor does it need to be explicit or motivated by knowledge of the trust placed in them</w:t>
      </w:r>
      <w:r w:rsidR="00EB73D7">
        <w:t>—</w:t>
      </w:r>
      <w:r w:rsidRPr="00413FEF">
        <w:t xml:space="preserve">thus making this account less demanding than preceding ones. </w:t>
      </w:r>
    </w:p>
    <w:p w14:paraId="717AD602" w14:textId="7407DB58" w:rsidR="006A1884" w:rsidRPr="00413FEF" w:rsidRDefault="006A1884" w:rsidP="00B2506B">
      <w:pPr>
        <w:spacing w:line="360" w:lineRule="auto"/>
        <w:ind w:firstLine="720"/>
      </w:pPr>
      <w:r w:rsidRPr="00413FEF">
        <w:t xml:space="preserve">Both Philip Nickel (2007), and </w:t>
      </w:r>
      <w:r w:rsidRPr="00C76FB3">
        <w:fldChar w:fldCharType="begin"/>
      </w:r>
      <w:r w:rsidRPr="00413FEF">
        <w:instrText xml:space="preserve"> ADDIN ZOTERO_ITEM CSL_CITATION {"citationID":"0pZlbX9h","properties":{"formattedCitation":"(Cohen and Dienhart, 2013)","plainCitation":"(Cohen and Dienhart, 2013)","dontUpdate":true,"noteIndex":0},"citationItems":[{"id":408,"uris":["http://zotero.org/users/local/5grjdT5j/items/H24CI6BG"],"uri":["http://zotero.org/users/local/5grjdT5j/items/H24CI6BG"],"itemData":{"id":408,"type":"article-journal","container-title":"Journal of Business Ethics","DOI":"10.1007/s10551-012-1218-5","issue":"1","note":"publisher: Springer Verlag","page":"1–13","source":"PhilPapers","title":"Moral and Amoral Conceptions of Trust, with an Application in Organizational Ethics","volume":"112","author":[{"family":"Cohen","given":"Marc A."},{"family":"Dienhart","given":"John"}],"issued":{"date-parts":[["2013"]]}}}],"schema":"https://github.com/citation-style-language/schema/raw/master/csl-citation.json"} </w:instrText>
      </w:r>
      <w:r w:rsidRPr="00C76FB3">
        <w:fldChar w:fldCharType="separate"/>
      </w:r>
      <w:r w:rsidRPr="00413FEF">
        <w:rPr>
          <w:noProof/>
        </w:rPr>
        <w:t>Marc Cohen and John Dienhart (2013)</w:t>
      </w:r>
      <w:r w:rsidRPr="00C76FB3">
        <w:fldChar w:fldCharType="end"/>
      </w:r>
      <w:r w:rsidRPr="00413FEF">
        <w:t xml:space="preserve">, instead, take moral obligation to be necessary to a proper understanding of the concept of trust. In both cases, too, the obligation is created by the act of trusting and being trusted. This position is </w:t>
      </w:r>
      <w:r w:rsidRPr="00413FEF">
        <w:lastRenderedPageBreak/>
        <w:t xml:space="preserve">close to the </w:t>
      </w:r>
      <w:r w:rsidR="00DF09F4">
        <w:rPr>
          <w:lang w:val="en-US"/>
        </w:rPr>
        <w:t>“</w:t>
      </w:r>
      <w:r w:rsidRPr="00413FEF">
        <w:t>trust-responsive theories</w:t>
      </w:r>
      <w:r w:rsidR="00DF09F4">
        <w:t>”</w:t>
      </w:r>
      <w:r w:rsidRPr="00413FEF">
        <w:t xml:space="preserve"> discussed above, but, at least in Nickel’s formulation, do not require explicit knowledge of trust. In Cohen and Dienhart’s view, in trusting someone, the trustor invites the trustee to accept an obligation; in accepting trust, the trustee takes on an obligation (</w:t>
      </w:r>
      <w:r w:rsidR="00DF09F4">
        <w:t xml:space="preserve">p. </w:t>
      </w:r>
      <w:r w:rsidRPr="00413FEF">
        <w:t xml:space="preserve">1). Thus the obligation takes place within a </w:t>
      </w:r>
      <w:r w:rsidRPr="00413FEF">
        <w:rPr>
          <w:i/>
          <w:iCs/>
        </w:rPr>
        <w:t>trust relationship</w:t>
      </w:r>
      <w:r w:rsidRPr="00413FEF">
        <w:t xml:space="preserve">, and requires both ascription and acceptance. Nickel’s proposal is less restrictive because he does not take the obligation to be actually in place. According to Nickel’s </w:t>
      </w:r>
      <w:r w:rsidR="00DF09F4">
        <w:t>“</w:t>
      </w:r>
      <w:r w:rsidRPr="00413FEF">
        <w:t>Obligation-Ascription Thesis</w:t>
      </w:r>
      <w:r w:rsidR="00DF09F4">
        <w:t>,”</w:t>
      </w:r>
      <w:r w:rsidRPr="00413FEF">
        <w:t xml:space="preserve"> the trustor </w:t>
      </w:r>
      <w:r w:rsidRPr="00413FEF">
        <w:rPr>
          <w:i/>
          <w:iCs/>
        </w:rPr>
        <w:t>ascribes</w:t>
      </w:r>
      <w:r w:rsidRPr="00413FEF">
        <w:t xml:space="preserve"> and </w:t>
      </w:r>
      <w:r w:rsidRPr="00413FEF">
        <w:rPr>
          <w:i/>
          <w:iCs/>
        </w:rPr>
        <w:t>endorses</w:t>
      </w:r>
      <w:r w:rsidRPr="00413FEF">
        <w:t xml:space="preserve"> an obligation to the trustee (in relation to the object of trust). This, however, does not </w:t>
      </w:r>
      <w:r w:rsidRPr="00413FEF">
        <w:rPr>
          <w:i/>
          <w:iCs/>
        </w:rPr>
        <w:t>create</w:t>
      </w:r>
      <w:r w:rsidRPr="00413FEF">
        <w:t xml:space="preserve"> an obligation. Like Hawley, Nickel does not take obligation to be sufficient to explain trust, but unlike her, he takes it to be conceptually necessary, if we are to make sense of the appropriate</w:t>
      </w:r>
      <w:r w:rsidR="006271E9" w:rsidRPr="00413FEF">
        <w:t>ness</w:t>
      </w:r>
      <w:r w:rsidRPr="00413FEF">
        <w:t xml:space="preserve"> of blame or punishment upon non-performance, and of the motivational force of the ascription. The ascription, moreover, does not need to be explicitly stated, as long as the trustee </w:t>
      </w:r>
      <w:r w:rsidR="00DF09F4">
        <w:t>“</w:t>
      </w:r>
      <w:r w:rsidRPr="00413FEF">
        <w:t>reasonably believe[s] the obligation has been ascribed</w:t>
      </w:r>
      <w:r w:rsidR="00DF09F4">
        <w:t>”</w:t>
      </w:r>
      <w:r w:rsidRPr="00413FEF">
        <w:t xml:space="preserve"> (</w:t>
      </w:r>
      <w:r w:rsidR="00DF09F4">
        <w:t xml:space="preserve">Nickel, 2007, p. </w:t>
      </w:r>
      <w:r w:rsidRPr="00413FEF">
        <w:t>317).</w:t>
      </w:r>
    </w:p>
    <w:p w14:paraId="1070FE58" w14:textId="764E2985" w:rsidR="006A1884" w:rsidRPr="00413FEF" w:rsidRDefault="006A1884" w:rsidP="00B2506B">
      <w:pPr>
        <w:spacing w:line="360" w:lineRule="auto"/>
        <w:ind w:firstLine="720"/>
      </w:pPr>
      <w:r w:rsidRPr="00413FEF">
        <w:t xml:space="preserve">The obligation to be trustworthy, by exhibiting the trust-building virtues of openness, honesty and transparency, also depends on the context in which trust is placed. In relation to scientific communication to laypersons, Joshua Kelsall (2021) argues that expert authorities have the obligation to exhibit the above-mentioned virtues, based on the relationships of trust between them and the public. Once again, the obligation is dependent on the relationship, but the obligation is not simply generated by the trust placed on experts. Rather, for Kelsall, the obligation depends on the fact that experts </w:t>
      </w:r>
      <w:r w:rsidR="00DF09F4">
        <w:t>“</w:t>
      </w:r>
      <w:r w:rsidRPr="00413FEF">
        <w:t>(1) hold positions of public trust and (2) desire public trust … regardless of whether this builds trust or not</w:t>
      </w:r>
      <w:r w:rsidR="00DF09F4">
        <w:t>”</w:t>
      </w:r>
      <w:r w:rsidRPr="00413FEF">
        <w:t xml:space="preserve"> (</w:t>
      </w:r>
      <w:r w:rsidR="00DF09F4">
        <w:t xml:space="preserve">Kelsall, </w:t>
      </w:r>
      <w:r w:rsidRPr="00413FEF">
        <w:t>2021</w:t>
      </w:r>
      <w:r w:rsidR="00DF09F4">
        <w:t>, p.</w:t>
      </w:r>
      <w:r w:rsidRPr="00413FEF">
        <w:t xml:space="preserve"> 288). Legitimate positions of public trust, of course, need to be both deserved and earned: by having the correct qualifications and being able to show them. </w:t>
      </w:r>
    </w:p>
    <w:p w14:paraId="4BBDC4A2" w14:textId="1E3E5215" w:rsidR="006A1884" w:rsidRPr="00413FEF" w:rsidRDefault="006A1884" w:rsidP="004756F6">
      <w:pPr>
        <w:spacing w:after="240" w:line="360" w:lineRule="auto"/>
        <w:ind w:firstLine="720"/>
      </w:pPr>
      <w:r w:rsidRPr="00413FEF">
        <w:t xml:space="preserve">Kelsall explicitly rejects Stephen John’s (2018) account, which denies that experts need to have any of the virtues Kelsall calls for, but rather takes it to be sufficient to satisfy to be in a position of trust and to be considered trustworthy. In reality, however, John explains how public trust may depend on false beliefs, which he calls </w:t>
      </w:r>
      <w:r w:rsidR="00DF09F4">
        <w:t>“</w:t>
      </w:r>
      <w:r w:rsidRPr="00413FEF">
        <w:t>false folk philosophy of science</w:t>
      </w:r>
      <w:r w:rsidR="00DF09F4">
        <w:t>.”</w:t>
      </w:r>
      <w:r w:rsidRPr="00413FEF">
        <w:t xml:space="preserve"> Since parts of the general public may be unable to distinguish between legitimate scientific practices and </w:t>
      </w:r>
      <w:r w:rsidR="00FF0858">
        <w:t>“</w:t>
      </w:r>
      <w:r w:rsidRPr="00413FEF">
        <w:t>folk</w:t>
      </w:r>
      <w:r w:rsidR="00FF0858">
        <w:t>”</w:t>
      </w:r>
      <w:r w:rsidRPr="00413FEF">
        <w:t xml:space="preserve"> scientific practices, John argues that it is permissible for experts to sustain those narratives and thus act against openness and honesty, if that helps to maintain trust </w:t>
      </w:r>
      <w:r w:rsidR="00FF0858">
        <w:t>that</w:t>
      </w:r>
      <w:r w:rsidR="00FF0858" w:rsidRPr="00413FEF">
        <w:t xml:space="preserve"> </w:t>
      </w:r>
      <w:r w:rsidRPr="00413FEF">
        <w:t>is</w:t>
      </w:r>
      <w:r w:rsidR="00FF0858">
        <w:t>, in any case,</w:t>
      </w:r>
      <w:r w:rsidRPr="00413FEF">
        <w:t xml:space="preserve"> warranted. Kelsall rejects this view as paternalistic and grounded on epistemic interests, which do not lead to the normative claims he endorses. Instead, for Kelsall, </w:t>
      </w:r>
      <w:r w:rsidR="00B7130C">
        <w:t>“</w:t>
      </w:r>
      <w:r w:rsidRPr="00413FEF">
        <w:t xml:space="preserve">given that the positions of trust often accorded to scientists range over the moral, social, and political domains as well as the epistemic domain, the communicative </w:t>
      </w:r>
      <w:r w:rsidRPr="00413FEF">
        <w:lastRenderedPageBreak/>
        <w:t>obligations of scientists must be grounded in concerns about the interests of nonexperts in these further domains</w:t>
      </w:r>
      <w:r w:rsidR="00B7130C">
        <w:t>”</w:t>
      </w:r>
      <w:r w:rsidRPr="00413FEF">
        <w:t xml:space="preserve"> (2021</w:t>
      </w:r>
      <w:r w:rsidR="00B7130C">
        <w:t>, p.</w:t>
      </w:r>
      <w:r w:rsidRPr="00413FEF">
        <w:t xml:space="preserve"> 296). The stress on the fact that scientific expertise inevitably, if sometimes tacitly, brings with it other values, over which scientists have no special claim, is shared by </w:t>
      </w:r>
      <w:r w:rsidRPr="00C76FB3">
        <w:fldChar w:fldCharType="begin"/>
      </w:r>
      <w:r w:rsidRPr="00413FEF">
        <w:instrText xml:space="preserve"> ADDIN ZOTERO_ITEM CSL_CITATION {"citationID":"a1sweKEt","properties":{"formattedCitation":"(Oughton and Forsberg, 2004)","plainCitation":"(Oughton and Forsberg, 2004)","dontUpdate":true,"noteIndex":0},"citationItems":[{"id":222,"uris":["http://zotero.org/users/local/5grjdT5j/items/8J4LTKLA"],"uri":["http://zotero.org/users/local/5grjdT5j/items/8J4LTKLA"],"itemData":{"id":222,"type":"article-journal","container-title":"Global Bioethics","DOI":"10.1080/11287462.2004.10800857","issue":"1","note":"publisher: Taylor &amp; Francis","page":"173–180","source":"PhilPapers","title":"Ethical Advice to Policy in its Problematic Context: Expertise and Trust","title-short":"Ethical Advice to Policy in its Problematic Context","volume":"17","author":[{"family":"Oughton","given":"Deborah"},{"family":"Forsberg","given":"Ellen-Marie"}],"issued":{"date-parts":[["2004"]]}}}],"schema":"https://github.com/citation-style-language/schema/raw/master/csl-citation.json"} </w:instrText>
      </w:r>
      <w:r w:rsidRPr="00C76FB3">
        <w:fldChar w:fldCharType="separate"/>
      </w:r>
      <w:r w:rsidRPr="00413FEF">
        <w:rPr>
          <w:noProof/>
        </w:rPr>
        <w:t>Oughton et al. (2004)</w:t>
      </w:r>
      <w:r w:rsidRPr="00C76FB3">
        <w:fldChar w:fldCharType="end"/>
      </w:r>
      <w:r w:rsidRPr="00413FEF">
        <w:t xml:space="preserve">, who on this basis recommend involving both ethicists and laypeople together with scientific experts when giving advice to policymakers. Moreover, apart from the prudential considerations put forth by John, whether or not the public is able to effectively understand detailed information, honesty and openness are what many want, to the extent that it is part of the first of </w:t>
      </w:r>
      <w:r w:rsidR="00EA1CF1" w:rsidRPr="00413FEF">
        <w:t>three</w:t>
      </w:r>
      <w:r w:rsidRPr="00413FEF">
        <w:t xml:space="preserve"> demands put forward by the anti-climate change movement Extinction Rebellio</w:t>
      </w:r>
      <w:r w:rsidR="008244D7">
        <w:t>n.</w:t>
      </w:r>
      <w:r w:rsidR="00A26418">
        <w:rPr>
          <w:rStyle w:val="FootnoteReference"/>
        </w:rPr>
        <w:footnoteReference w:id="7"/>
      </w:r>
    </w:p>
    <w:p w14:paraId="22586F28" w14:textId="2EF6D309" w:rsidR="006A1884" w:rsidRPr="00B7130C" w:rsidRDefault="006A1884" w:rsidP="004756F6">
      <w:pPr>
        <w:pStyle w:val="ListParagraph"/>
        <w:numPr>
          <w:ilvl w:val="0"/>
          <w:numId w:val="1"/>
        </w:numPr>
        <w:spacing w:after="240" w:line="360" w:lineRule="auto"/>
        <w:rPr>
          <w:rFonts w:ascii="Times New Roman" w:hAnsi="Times New Roman" w:cs="Times New Roman"/>
        </w:rPr>
      </w:pPr>
      <w:r w:rsidRPr="00413FEF">
        <w:rPr>
          <w:rFonts w:ascii="Times New Roman" w:hAnsi="Times New Roman" w:cs="Times New Roman"/>
        </w:rPr>
        <w:t>T</w:t>
      </w:r>
      <w:r w:rsidRPr="00413FEF">
        <w:rPr>
          <w:rFonts w:ascii="Times New Roman" w:hAnsi="Times New Roman" w:cs="Times New Roman"/>
          <w:lang w:val="en-GB"/>
        </w:rPr>
        <w:t>he Virtue of Trustworthiness</w:t>
      </w:r>
    </w:p>
    <w:p w14:paraId="782CA271" w14:textId="41689F7F" w:rsidR="006A1884" w:rsidRPr="00413FEF" w:rsidRDefault="006A1884" w:rsidP="004756F6">
      <w:pPr>
        <w:spacing w:line="360" w:lineRule="auto"/>
        <w:ind w:firstLine="360"/>
      </w:pPr>
      <w:r w:rsidRPr="00413FEF">
        <w:t>So far, we have begun to introduce trustworthiness in connection with the moral responsibility of the trustee. Trustworthiness is considered a virtue. That is why a good amount of the literature on the ethics of trust has looked at what it means to be trustworthy and the conditions</w:t>
      </w:r>
      <w:r w:rsidR="00A16C28">
        <w:t xml:space="preserve"> under which trustworthiness arises</w:t>
      </w:r>
      <w:r w:rsidRPr="00413FEF">
        <w:t xml:space="preserve">. Baier (2004) includes trustworthiness as a key element of a social </w:t>
      </w:r>
      <w:r w:rsidR="00FE0CFE">
        <w:t>“</w:t>
      </w:r>
      <w:r w:rsidRPr="00413FEF">
        <w:t>climate of virtue</w:t>
      </w:r>
      <w:r w:rsidR="00FE0CFE">
        <w:t>.”</w:t>
      </w:r>
      <w:r w:rsidRPr="00413FEF">
        <w:t xml:space="preserve"> Without general trustworthiness, social relationships become strained and difficult.</w:t>
      </w:r>
    </w:p>
    <w:p w14:paraId="6360CA27" w14:textId="786F1931" w:rsidR="006A1884" w:rsidRPr="00413FEF" w:rsidRDefault="006A1884" w:rsidP="00B2506B">
      <w:pPr>
        <w:spacing w:line="360" w:lineRule="auto"/>
        <w:ind w:firstLine="720"/>
      </w:pPr>
      <w:r w:rsidRPr="00413FEF">
        <w:t>In the case of experts communicating with the public, as we have seen, trustworthiness tends to include certain other virtues, such as openness, transparency, sincerity</w:t>
      </w:r>
      <w:r w:rsidR="006E595F">
        <w:t>,</w:t>
      </w:r>
      <w:r w:rsidRPr="00413FEF">
        <w:t xml:space="preserve"> and honesty (see</w:t>
      </w:r>
      <w:r w:rsidR="006E595F">
        <w:t>,</w:t>
      </w:r>
      <w:r w:rsidRPr="00413FEF">
        <w:t xml:space="preserve"> e.g.</w:t>
      </w:r>
      <w:r w:rsidR="006E595F">
        <w:t>,</w:t>
      </w:r>
      <w:r w:rsidRPr="00413FEF">
        <w:t xml:space="preserve"> </w:t>
      </w:r>
      <w:r w:rsidRPr="00C76FB3">
        <w:fldChar w:fldCharType="begin"/>
      </w:r>
      <w:r w:rsidRPr="00413FEF">
        <w:instrText xml:space="preserve"> ADDIN ZOTERO_ITEM CSL_CITATION {"citationID":"1jRaYxgU","properties":{"formattedCitation":"(Nordmann, 2011)","plainCitation":"(Nordmann, 2011)","dontUpdate":true,"noteIndex":0},"citationItems":[{"id":314,"uris":["http://zotero.org/users/local/5grjdT5j/items/MHKNRZVH"],"uri":["http://zotero.org/users/local/5grjdT5j/items/MHKNRZVH"],"itemData":{"id":314,"type":"chapter","abstract":"First, there is the communication of science that involves a communal effort to get at the truth in a deliberative manner. It presupposes a mutual commitment to comprehensibility, truth, adequacy, and sincerity. Then there is science communication which seeks to ensure that our knowledge societies provide a supportive environment for the responsible development of science and technology. In order to be trustworthy, science communication has to meet certain ethical requirements. These two kinds of communication are radically different in character – and this is a dilemma and moral struggle for all scientists who engage in science communication, and for all science communicators who wish to communicate not just the results and promises of technoscientific research but also wish to retain the Enlightenment ethos of science as an exemplary deliberative enterprise. This is, in short and in summary, what calls for elaboration in the following pages.Introduction: discourse ethics, science, and democracyOne cannot formulate an ethics of science communication without considering the ethics of discourse more generally. What else is there, after all, in the communication of science or any other kind of communication: be clear and comprehensible, say what is correct or true, adhere to what is rightful or adequate to the situation, convey your sincerity and honesty! It would appear that an ethics of science communication urges adherence to norms such as these. Things are more complicated, however, and so is the current practice of what has come to be the business of science communication. The complication starts right here: the four imperatives stated above are not, in fact, norms of discourse that are more general than those of science – they originate within science itself and the tradition of the Enlightenment. It is for the sake of the intellectual progress of humankind in its pursuit of truth that the clarity, veracity, adequacy, and honesty of what we say to one another matters so much. Arguably, however, this tradition of science as pursuit of truth and of general Enlightenment has lost sway in the contemporary world of innovation, of research and development, of science centers, stakeholder involvement, and public engagement – and thus, perhaps, the four norms are anything but self-evident and have little to do with the standards of appropriateness for science communication.","container-title":"Successful Science Communication: Telling It Like It Is","event-place":"Cambridge","ISBN":"978-1-107-00332-3","note":"DOI: 10.1017/CBO9780511760228.010","page":"101-118","publisher":"Cambridge University Press","publisher-place":"Cambridge","source":"Cambridge University Press","title":"The ethos of science vs. ethics of science communication: on deficit and surplus models of science–society interaction","title-short":"The ethos of science vs. ethics of science communication","URL":"https://www.cambridge.org/core/books/successful-science-communication/ethos-of-science-vs-ethics-of-science-communication-on-deficit-and-surplus-models-of-sciencesociety-interaction/9EB98EF4927E6E995BEAAC0CD0538111","editor":[{"family":"Bennett","given":"David J."},{"family":"Jennings","given":"Richard C."}],"author":[{"family":"Nordmann","given":"Alfred"}],"accessed":{"date-parts":[["2021",4,16]]},"issued":{"date-parts":[["2011"]]}}}],"schema":"https://github.com/citation-style-language/schema/raw/master/csl-citation.json"} </w:instrText>
      </w:r>
      <w:r w:rsidRPr="00C76FB3">
        <w:fldChar w:fldCharType="separate"/>
      </w:r>
      <w:r w:rsidRPr="00413FEF">
        <w:t>Faulkner</w:t>
      </w:r>
      <w:r w:rsidR="006E595F">
        <w:t>,</w:t>
      </w:r>
      <w:r w:rsidRPr="00413FEF">
        <w:t xml:space="preserve"> 2014</w:t>
      </w:r>
      <w:r w:rsidRPr="00C76FB3">
        <w:fldChar w:fldCharType="end"/>
      </w:r>
      <w:r w:rsidRPr="00413FEF">
        <w:t xml:space="preserve"> and </w:t>
      </w:r>
      <w:r w:rsidRPr="00C76FB3">
        <w:fldChar w:fldCharType="begin"/>
      </w:r>
      <w:r w:rsidRPr="00413FEF">
        <w:instrText xml:space="preserve"> ADDIN ZOTERO_ITEM CSL_CITATION {"citationID":"66TiEg1z","properties":{"formattedCitation":"(Wilsdon and Willis, 2004)","plainCitation":"(Wilsdon and Willis, 2004)","dontUpdate":true,"noteIndex":0},"citationItems":[{"id":316,"uris":["http://zotero.org/users/local/5grjdT5j/items/VKAZHYS7"],"uri":["http://zotero.org/users/local/5grjdT5j/items/VKAZHYS7"],"itemData":{"id":316,"type":"webpage","abstract":"Spurred on by controversies over BSE, GM crops and nanotechnology, scientists gradually started to involve the public in their work. They looked first to education as the answer, then to processes of dialogue and participation. But these efforts have not yet proved sufficient. \n\nScientists need to find ways of listening to and valuing more diverse forms of public knowledge. Only by opening up innovation processes at an early stage can we ensure that science contributes to the common good. Debates about risk are important. But the public also want answers to the more fundamental questions at stake in any new technology: Who owns it? Who benefits from it? To what purposes will it be directed?\n\nIn this influential 2004 Demos report, James Wilsdon and Rebecca Willis argued that public engagement had to move upstream. The pamphlet offers practical guidance for scientists, policymakers, research councils businesses and NGOs – anyone who is trying to make engagement work.","genre":"Reports and working papers","language":"en","note":"number-of-pages: 69\npublisher-place: London\npublisher: Demos","title":"See-through science: why public engagement needs to move upstream","title-short":"See-through science","URL":"http://www.demos.co.uk/publications/paddlingupstream","author":[{"family":"Wilsdon","given":"James"},{"family":"Willis","given":"Rebecca"}],"accessed":{"date-parts":[["2021",4,16]]},"issued":{"date-parts":[["2004",9]]}}}],"schema":"https://github.com/citation-style-language/schema/raw/master/csl-citation.json"} </w:instrText>
      </w:r>
      <w:r w:rsidRPr="00C76FB3">
        <w:fldChar w:fldCharType="separate"/>
      </w:r>
      <w:proofErr w:type="spellStart"/>
      <w:r w:rsidRPr="00413FEF">
        <w:t>Wilsdon</w:t>
      </w:r>
      <w:proofErr w:type="spellEnd"/>
      <w:r w:rsidRPr="00413FEF">
        <w:t xml:space="preserve"> </w:t>
      </w:r>
      <w:r w:rsidR="006E595F">
        <w:t>&amp;</w:t>
      </w:r>
      <w:r w:rsidR="006E595F" w:rsidRPr="00413FEF">
        <w:t xml:space="preserve"> </w:t>
      </w:r>
      <w:r w:rsidRPr="00413FEF">
        <w:t>Willis</w:t>
      </w:r>
      <w:r w:rsidR="006E595F">
        <w:t>,</w:t>
      </w:r>
      <w:r w:rsidRPr="00413FEF">
        <w:t xml:space="preserve"> 2004)</w:t>
      </w:r>
      <w:r w:rsidRPr="00C76FB3">
        <w:fldChar w:fldCharType="end"/>
      </w:r>
      <w:r w:rsidRPr="00413FEF">
        <w:t xml:space="preserve">. This is not uncontroversial: according to </w:t>
      </w:r>
      <w:r w:rsidRPr="00C76FB3">
        <w:fldChar w:fldCharType="begin"/>
      </w:r>
      <w:r w:rsidRPr="00413FEF">
        <w:instrText xml:space="preserve"> ADDIN ZOTERO_ITEM CSL_CITATION {"citationID":"Zfm8O8Jb","properties":{"formattedCitation":"(John, 2018)","plainCitation":"(John, 2018)","dontUpdate":true,"noteIndex":0},"citationItems":[{"id":301,"uris":["http://zotero.org/users/local/5grjdT5j/items/N3ZA7NEX"],"uri":["http://zotero.org/users/local/5grjdT5j/items/N3ZA7NEX"],"itemData":{"id":301,"type":"article-journal","container-title":"Social Epistemology","DOI":"10.1080/02691728.2017.1410864","issue":"2","page":"75–87","source":"PhilPapers","title":"Epistemic Trust and the Ethics of Science Communication: Against Transparency, Openness, Sincerity and Honesty","title-short":"Epistemic Trust and the Ethics of Science Communication","volume":"32","author":[{"family":"John","given":"Stephen"}],"issued":{"date-parts":[["2018"]]}}}],"schema":"https://github.com/citation-style-language/schema/raw/master/csl-citation.json"} </w:instrText>
      </w:r>
      <w:r w:rsidRPr="00C76FB3">
        <w:fldChar w:fldCharType="separate"/>
      </w:r>
      <w:r w:rsidRPr="00413FEF">
        <w:t>John (2018)</w:t>
      </w:r>
      <w:r w:rsidRPr="00C76FB3">
        <w:fldChar w:fldCharType="end"/>
      </w:r>
      <w:r w:rsidRPr="00413FEF">
        <w:t>, such virtues may not serve the communicative goals well, since distrust of claims</w:t>
      </w:r>
      <w:r w:rsidR="00A321DA">
        <w:t>—</w:t>
      </w:r>
      <w:r w:rsidRPr="00413FEF">
        <w:t>such as those about anthropogenic climate change</w:t>
      </w:r>
      <w:r w:rsidR="00A321DA">
        <w:t>—</w:t>
      </w:r>
      <w:r w:rsidRPr="00413FEF">
        <w:t>are not based on distrust of science per se, but on a poor understanding of how scientific research works. Further, the general public tends to interpret scientific claims as beliefs, whereas a) more often</w:t>
      </w:r>
      <w:r w:rsidR="00A321DA">
        <w:t>,</w:t>
      </w:r>
      <w:r w:rsidRPr="00413FEF">
        <w:t xml:space="preserve"> they communicate the consensus in the scientific community, and b) it is controversial whether groups and organizations can be said to have beliefs </w:t>
      </w:r>
      <w:r w:rsidRPr="00C76FB3">
        <w:fldChar w:fldCharType="begin"/>
      </w:r>
      <w:r w:rsidRPr="00413FEF">
        <w:instrText xml:space="preserve"> ADDIN ZOTERO_ITEM CSL_CITATION {"citationID":"OB0qPb93","properties":{"formattedCitation":"(Hawley, 2017a)","plainCitation":"(Hawley, 2017a)","noteIndex":0},"citationItems":[{"id":319,"uris":["http://zotero.org/users/local/5grjdT5j/items/RK2PRMUX"],"uri":["http://zotero.org/users/local/5grjdT5j/items/RK2PRMUX"],"itemData":{"id":319,"type":"chapter","abstract":"Beyond philosophy, discussions of trust and trustworthiness often concern collective entities such as corporations, states, and social groups. But much philosophical work takes trust in an individual person as paradigmatic, distinguishing such trust from mere reliance. This chapter explores the distinction between trustworthiness and mere reliability as it applies to collectives, arguing that the distinction does not have the same significance as it has in the individual case.","ISBN":"978-0-19-873254-9","language":"eng","note":"Accepted: 2019-03-02T00:38:23Z","publisher":"Oxford University Press","source":"research-repository.st-andrews.ac.uk","title":"Trustworthy groups and organisations","URL":"https://research-repository.st-andrews.ac.uk/handle/10023/17203","author":[{"family":"Hawley","given":"Katherine Jane"}],"accessed":{"date-parts":[["2021",4,16]]},"issued":{"date-parts":[["2017",3,2]]}}}],"schema":"https://github.com/citation-style-language/schema/raw/master/csl-citation.json"} </w:instrText>
      </w:r>
      <w:r w:rsidRPr="00C76FB3">
        <w:fldChar w:fldCharType="separate"/>
      </w:r>
      <w:r w:rsidRPr="00413FEF">
        <w:t>(Hawley</w:t>
      </w:r>
      <w:r w:rsidR="00A321DA">
        <w:t>,</w:t>
      </w:r>
      <w:r w:rsidRPr="00413FEF">
        <w:t xml:space="preserve"> 2017)</w:t>
      </w:r>
      <w:r w:rsidRPr="00C76FB3">
        <w:fldChar w:fldCharType="end"/>
      </w:r>
      <w:r w:rsidRPr="00413FEF">
        <w:t>. Hence, John concludes, there are other values that weigh more in scientific communication (i.e.</w:t>
      </w:r>
      <w:r w:rsidR="00A321DA">
        <w:t>,</w:t>
      </w:r>
      <w:r w:rsidRPr="00413FEF">
        <w:t xml:space="preserve"> furthering non-experts</w:t>
      </w:r>
      <w:r w:rsidR="00A321DA">
        <w:t>’</w:t>
      </w:r>
      <w:r w:rsidRPr="00413FEF">
        <w:t xml:space="preserve"> epistemic interests) which do not coincide with honesty; and that, given the prevalence of a flawed philosophy of science among the public, transparency and openness may</w:t>
      </w:r>
      <w:r w:rsidR="00C459EB">
        <w:t>,</w:t>
      </w:r>
      <w:r w:rsidRPr="00413FEF">
        <w:t xml:space="preserve"> in fact</w:t>
      </w:r>
      <w:r w:rsidR="00C459EB">
        <w:t>,</w:t>
      </w:r>
      <w:r w:rsidRPr="00413FEF">
        <w:t xml:space="preserve"> undermine public trust. </w:t>
      </w:r>
    </w:p>
    <w:p w14:paraId="133812D0" w14:textId="193AF030" w:rsidR="006A1884" w:rsidRPr="00413FEF" w:rsidRDefault="006A1884" w:rsidP="00B2506B">
      <w:pPr>
        <w:spacing w:line="360" w:lineRule="auto"/>
        <w:ind w:firstLine="720"/>
      </w:pPr>
      <w:r w:rsidRPr="00413FEF">
        <w:lastRenderedPageBreak/>
        <w:t xml:space="preserve">Another potential challenge to the consensus about the virtues of trustworthy experts is the distinction between </w:t>
      </w:r>
      <w:r w:rsidR="00C459EB">
        <w:t>“</w:t>
      </w:r>
      <w:r w:rsidRPr="00413FEF">
        <w:t>full trustworthiness</w:t>
      </w:r>
      <w:r w:rsidR="00C459EB">
        <w:t>”</w:t>
      </w:r>
      <w:r w:rsidRPr="00413FEF">
        <w:t xml:space="preserve"> and </w:t>
      </w:r>
      <w:r w:rsidR="00C459EB">
        <w:t>“</w:t>
      </w:r>
      <w:r w:rsidRPr="00413FEF">
        <w:t>specific trustworthiness</w:t>
      </w:r>
      <w:r w:rsidR="00C459EB">
        <w:t>,”</w:t>
      </w:r>
      <w:r w:rsidRPr="00413FEF">
        <w:t xml:space="preserve"> drawn by Nancy Nyquist </w:t>
      </w:r>
      <w:r w:rsidRPr="00C76FB3">
        <w:fldChar w:fldCharType="begin"/>
      </w:r>
      <w:r w:rsidRPr="00413FEF">
        <w:instrText xml:space="preserve"> ADDIN ZOTERO_ITEM CSL_CITATION {"citationID":"VTVIV3zq","properties":{"formattedCitation":"(Potter, 2002)","plainCitation":"(Potter, 2002)","dontUpdate":true,"noteIndex":0},"citationItems":[{"id":322,"uris":["http://zotero.org/users/local/5grjdT5j/items/8DIXZBEY"],"uri":["http://zotero.org/users/local/5grjdT5j/items/8DIXZBEY"],"itemData":{"id":322,"type":"book","publisher":"Rowman &amp; Littlefield Publishers","source":"PhilPapers","title":"How Can I Be Trusted?: A Virtue Theory of Trustworthiness","title-short":"How Can I Be Trusted?","author":[{"family":"Potter","given":"Nancy Nyquist"}],"issued":{"date-parts":[["2002"]]}}}],"schema":"https://github.com/citation-style-language/schema/raw/master/csl-citation.json"} </w:instrText>
      </w:r>
      <w:r w:rsidRPr="00C76FB3">
        <w:fldChar w:fldCharType="separate"/>
      </w:r>
      <w:r w:rsidRPr="00413FEF">
        <w:t>Potter (2002</w:t>
      </w:r>
      <w:r w:rsidR="00C459EB">
        <w:t>, p.</w:t>
      </w:r>
      <w:r w:rsidRPr="00413FEF">
        <w:t xml:space="preserve"> 25)</w:t>
      </w:r>
      <w:r w:rsidRPr="00C76FB3">
        <w:fldChar w:fldCharType="end"/>
      </w:r>
      <w:r w:rsidRPr="00413FEF">
        <w:t xml:space="preserve">. </w:t>
      </w:r>
      <w:r w:rsidR="00BB2253" w:rsidRPr="00413FEF">
        <w:t>T</w:t>
      </w:r>
      <w:r w:rsidRPr="00413FEF">
        <w:t xml:space="preserve">he virtue of trustworthiness, or full trustworthiness, requires being able to </w:t>
      </w:r>
      <w:r w:rsidR="00EA1CF1" w:rsidRPr="00413FEF">
        <w:t>be trustworthy</w:t>
      </w:r>
      <w:r w:rsidRPr="00413FEF">
        <w:t xml:space="preserve"> overall. Expert trust, on the other hand, typically relies on a </w:t>
      </w:r>
      <w:r w:rsidR="00D054EF">
        <w:t>“</w:t>
      </w:r>
      <w:r w:rsidRPr="00413FEF">
        <w:t>thin</w:t>
      </w:r>
      <w:r w:rsidR="00D054EF">
        <w:t>”</w:t>
      </w:r>
      <w:r w:rsidRPr="00413FEF">
        <w:t xml:space="preserve"> </w:t>
      </w:r>
      <w:r w:rsidR="00EA1CF1" w:rsidRPr="00413FEF">
        <w:t xml:space="preserve">form </w:t>
      </w:r>
      <w:r w:rsidRPr="00413FEF">
        <w:t>of trustworthiness, where what matters is experts’ knowledge about the question at hand, and not, say, in their private lives. A further difficulty of the virtue-based account for expertise is that, at least on Potter’s Aristotelian theory of trustworthiness, trust becomes more demanding: in Potter’s view, it is not sufficient that one proves to be trustworthy on particular occasions; trustworthiness is a character trait, and as such</w:t>
      </w:r>
      <w:r w:rsidR="00D054EF">
        <w:t>,</w:t>
      </w:r>
      <w:r w:rsidRPr="00413FEF">
        <w:t xml:space="preserve"> it a) needs to be developed over time, and b) needs to adhere to the </w:t>
      </w:r>
      <w:r w:rsidR="00D054EF">
        <w:t>“</w:t>
      </w:r>
      <w:r w:rsidRPr="00413FEF">
        <w:t>mean</w:t>
      </w:r>
      <w:r w:rsidR="00D054EF">
        <w:t>,”</w:t>
      </w:r>
      <w:r w:rsidRPr="00413FEF">
        <w:t xml:space="preserve"> requiring practical wisdom for its right application in the right situations for the right end. This does not make the theory inapplicable. Two features open it up for experts. The first is the contextual nature of the theory. On a virtue-based account, trustworthiness needs to be appropriate to the situation, and public trust is different from individual trust. Secondly, experts can</w:t>
      </w:r>
      <w:r w:rsidR="00EA1CF1" w:rsidRPr="00413FEF">
        <w:t xml:space="preserve"> indeed</w:t>
      </w:r>
      <w:r w:rsidRPr="00413FEF">
        <w:t xml:space="preserve"> embody the dispositional qualities that Potter suggests: giving assurance and signs of their trustworthiness; taking their responsibility as knower seriously; </w:t>
      </w:r>
      <w:r w:rsidR="00EA1CF1" w:rsidRPr="00413FEF">
        <w:t xml:space="preserve">and </w:t>
      </w:r>
      <w:r w:rsidRPr="00413FEF">
        <w:t>responding appropriately to broken trust and taking steps to mend it.</w:t>
      </w:r>
    </w:p>
    <w:p w14:paraId="69366477" w14:textId="70EA059E" w:rsidR="006A1884" w:rsidRPr="00413FEF" w:rsidRDefault="006A1884" w:rsidP="004756F6">
      <w:pPr>
        <w:spacing w:line="360" w:lineRule="auto"/>
        <w:ind w:firstLine="720"/>
      </w:pPr>
      <w:r w:rsidRPr="00413FEF">
        <w:t xml:space="preserve">All this suggests that we can take some elements of the virtue-based account of trustworthiness to examine trust in experts, but its applicability is limited. As Karen Jones </w:t>
      </w:r>
      <w:r w:rsidRPr="00C76FB3">
        <w:fldChar w:fldCharType="begin"/>
      </w:r>
      <w:r w:rsidRPr="00413FEF">
        <w:instrText xml:space="preserve"> ADDIN ZOTERO_ITEM CSL_CITATION {"citationID":"ULP98Y4a","properties":{"formattedCitation":"(Jones, 2012)","plainCitation":"(Jones, 2012)","noteIndex":0},"citationItems":[{"id":324,"uris":["http://zotero.org/users/local/5grjdT5j/items/K8JC6AQS"],"uri":["http://zotero.org/users/local/5grjdT5j/items/K8JC6AQS"],"itemData":{"id":324,"type":"article-journal","container-title":"Ethics","DOI":"10.1086/667838","issue":"1","page":"61–85","source":"PhilPapers","title":"Trustworthiness","volume":"123","author":[{"family":"Jones","given":"Karen"}],"issued":{"date-parts":[["2012"]]}}}],"schema":"https://github.com/citation-style-language/schema/raw/master/csl-citation.json"} </w:instrText>
      </w:r>
      <w:r w:rsidRPr="00C76FB3">
        <w:fldChar w:fldCharType="separate"/>
      </w:r>
      <w:r w:rsidRPr="00413FEF">
        <w:t>(201</w:t>
      </w:r>
      <w:r w:rsidR="008B3ABF" w:rsidRPr="00413FEF">
        <w:t>3</w:t>
      </w:r>
      <w:r w:rsidRPr="00413FEF">
        <w:t>)</w:t>
      </w:r>
      <w:r w:rsidRPr="00C76FB3">
        <w:fldChar w:fldCharType="end"/>
      </w:r>
      <w:r w:rsidRPr="00413FEF">
        <w:t xml:space="preserve"> argues, the virtue account does not make sense of conflicting trust requirements, nor does it explain why being untrustworthy is not always a vice. However, not everyone agrees that individual relationships of trust are radically different from the public trust relationships between experts and the public. Arguing for the importance of trust in climate change communication, Ben </w:t>
      </w:r>
      <w:r w:rsidRPr="00C76FB3">
        <w:fldChar w:fldCharType="begin"/>
      </w:r>
      <w:r w:rsidRPr="00413FEF">
        <w:instrText xml:space="preserve"> ADDIN ZOTERO_ITEM CSL_CITATION {"citationID":"nKaelAdW","properties":{"formattedCitation":"(Almassi, 2012)","plainCitation":"(Almassi, 2012)","dontUpdate":true,"noteIndex":0},"citationItems":[{"id":327,"uris":["http://zotero.org/users/local/5grjdT5j/items/I2BNWE89"],"uri":["http://zotero.org/users/local/5grjdT5j/items/I2BNWE89"],"itemData":{"id":327,"type":"article-journal","container-title":"Ethics and the Environment","DOI":"10.2979/ethicsenviro.17.2.29","issue":"2","page":"29–49","source":"PhilPapers","title":"Climate Change, Epistemic Trust, and Expert Trustworthiness","volume":"17","author":[{"literal":"Almassi"}],"issued":{"date-parts":[["2012"]]}}}],"schema":"https://github.com/citation-style-language/schema/raw/master/csl-citation.json"} </w:instrText>
      </w:r>
      <w:r w:rsidRPr="00C76FB3">
        <w:fldChar w:fldCharType="separate"/>
      </w:r>
      <w:r w:rsidRPr="00413FEF">
        <w:t>Almassi (2012)</w:t>
      </w:r>
      <w:r w:rsidRPr="00C76FB3">
        <w:fldChar w:fldCharType="end"/>
      </w:r>
      <w:r w:rsidRPr="00413FEF">
        <w:t xml:space="preserve"> claims that </w:t>
      </w:r>
      <w:r w:rsidR="00D054EF">
        <w:t xml:space="preserve">it </w:t>
      </w:r>
      <w:r w:rsidRPr="00413FEF">
        <w:t xml:space="preserve">is  possible and indeed necessary to build </w:t>
      </w:r>
      <w:r w:rsidR="00D054EF">
        <w:t>“</w:t>
      </w:r>
      <w:r w:rsidRPr="00413FEF">
        <w:t>mutual and reciprocal affective trustworthiness … to avoid moral rot</w:t>
      </w:r>
      <w:r w:rsidR="00D054EF">
        <w:t>”</w:t>
      </w:r>
      <w:r w:rsidRPr="00413FEF">
        <w:t xml:space="preserve"> (</w:t>
      </w:r>
      <w:r w:rsidR="00D054EF">
        <w:t xml:space="preserve">p. </w:t>
      </w:r>
      <w:r w:rsidRPr="00413FEF">
        <w:t xml:space="preserve">30). On this model, trustworthiness needs to go beyond reliability and transparency, to include the recognition, in both parties, of the epistemic dependency of the public, and a </w:t>
      </w:r>
      <w:r w:rsidR="00D054EF">
        <w:t>“</w:t>
      </w:r>
      <w:r w:rsidRPr="00413FEF">
        <w:t>conscientious response</w:t>
      </w:r>
      <w:r w:rsidR="00D054EF">
        <w:t>”</w:t>
      </w:r>
      <w:r w:rsidRPr="00413FEF">
        <w:t xml:space="preserve"> on the part of experts to this dependency. </w:t>
      </w:r>
    </w:p>
    <w:p w14:paraId="16AA1661" w14:textId="77777777" w:rsidR="006A1884" w:rsidRPr="00413FEF" w:rsidRDefault="006A1884" w:rsidP="00E521A8">
      <w:pPr>
        <w:spacing w:line="360" w:lineRule="auto"/>
      </w:pPr>
    </w:p>
    <w:p w14:paraId="0A2E00D5" w14:textId="70319259" w:rsidR="006A1884" w:rsidRPr="00413FEF" w:rsidRDefault="006A1884" w:rsidP="00883775">
      <w:pPr>
        <w:spacing w:line="480" w:lineRule="exact"/>
        <w:rPr>
          <w:b/>
          <w:bCs/>
        </w:rPr>
      </w:pPr>
      <w:r w:rsidRPr="00413FEF">
        <w:rPr>
          <w:b/>
          <w:bCs/>
        </w:rPr>
        <w:t>III. 4 Reflections on the Ethical Responsibility to Trust</w:t>
      </w:r>
    </w:p>
    <w:p w14:paraId="79D3EBC6" w14:textId="77777777" w:rsidR="006A1884" w:rsidRPr="00413FEF" w:rsidRDefault="006A1884" w:rsidP="00883775">
      <w:pPr>
        <w:spacing w:line="480" w:lineRule="exact"/>
        <w:rPr>
          <w:b/>
          <w:bCs/>
        </w:rPr>
      </w:pPr>
    </w:p>
    <w:p w14:paraId="2069ACAE" w14:textId="3A6E3E4B" w:rsidR="006A1884" w:rsidRPr="00413FEF" w:rsidRDefault="006A1884" w:rsidP="004756F6">
      <w:pPr>
        <w:spacing w:line="480" w:lineRule="exact"/>
        <w:ind w:firstLine="720"/>
      </w:pPr>
      <w:r w:rsidRPr="00413FEF">
        <w:t xml:space="preserve">Much of the interest in the ethics of trust concerns the ethical responsibility to be trustworthy and the ethical responsibility to establish conditions of trust. But </w:t>
      </w:r>
      <w:r w:rsidR="00927D12" w:rsidRPr="00413FEF">
        <w:t>we also</w:t>
      </w:r>
      <w:r w:rsidRPr="00413FEF">
        <w:t xml:space="preserve"> want to </w:t>
      </w:r>
      <w:r w:rsidRPr="00413FEF">
        <w:lastRenderedPageBreak/>
        <w:t>consider the less theori</w:t>
      </w:r>
      <w:r w:rsidR="00746300">
        <w:t>z</w:t>
      </w:r>
      <w:r w:rsidRPr="00413FEF">
        <w:t xml:space="preserve">ed issue of the ethical responsibility to trust or distrust. Even </w:t>
      </w:r>
      <w:r w:rsidR="00BB2253" w:rsidRPr="00413FEF">
        <w:t>where the</w:t>
      </w:r>
      <w:r w:rsidRPr="00413FEF">
        <w:t xml:space="preserve"> goal is to establish social conditions in which people end up trusting trustworthy sources, one may get a better sense of these conditions by treating the people who we want to be trusting appropriately as moral agents</w:t>
      </w:r>
      <w:r w:rsidR="00746300">
        <w:t>—</w:t>
      </w:r>
      <w:r w:rsidRPr="00413FEF">
        <w:t xml:space="preserve">agents who are trusting or not trusting in response to what they take to be moral imperatives and not merely psychological cues.  </w:t>
      </w:r>
    </w:p>
    <w:p w14:paraId="01F5D124" w14:textId="62F156AD" w:rsidR="006A1884" w:rsidRPr="00413FEF" w:rsidRDefault="006A1884" w:rsidP="00866C4D">
      <w:pPr>
        <w:spacing w:line="480" w:lineRule="exact"/>
        <w:ind w:firstLine="720"/>
      </w:pPr>
      <w:r w:rsidRPr="00413FEF">
        <w:t>This means we treat people who distrust reputable journalists and scientific experts and instead trust populist politicians and internet conspiracy theorists as rational agents</w:t>
      </w:r>
      <w:r w:rsidR="00BB2253" w:rsidRPr="00413FEF">
        <w:t xml:space="preserve"> (but see Boghossian in this volume)</w:t>
      </w:r>
      <w:r w:rsidRPr="00413FEF">
        <w:t xml:space="preserve">, responding to genuinely ethical perspectives, </w:t>
      </w:r>
      <w:r w:rsidR="00746300">
        <w:t xml:space="preserve">rather than </w:t>
      </w:r>
      <w:r w:rsidRPr="00413FEF">
        <w:t xml:space="preserve"> as psychologically twisted and lacking fully autonomous agency. This enables us to see such people from their own point of view</w:t>
      </w:r>
      <w:r w:rsidR="00746300">
        <w:t>—</w:t>
      </w:r>
      <w:r w:rsidRPr="00413FEF">
        <w:t>with empathy</w:t>
      </w:r>
      <w:r w:rsidR="00746300">
        <w:t>—</w:t>
      </w:r>
      <w:r w:rsidRPr="00413FEF">
        <w:t>and to engage with their perspective. The advantage of this approach is not just that it is more respectful and humble, but also that it opens up the possibility of genuine dialogue.</w:t>
      </w:r>
    </w:p>
    <w:p w14:paraId="3C27E0AB" w14:textId="399312D9" w:rsidR="006A1884" w:rsidRPr="00413FEF" w:rsidRDefault="00BB2253" w:rsidP="00866C4D">
      <w:pPr>
        <w:spacing w:line="480" w:lineRule="exact"/>
        <w:ind w:firstLine="720"/>
      </w:pPr>
      <w:r w:rsidRPr="00413FEF">
        <w:t xml:space="preserve">The issues involved are complex and </w:t>
      </w:r>
      <w:r w:rsidR="00D9157D" w:rsidRPr="00413FEF">
        <w:t xml:space="preserve">are </w:t>
      </w:r>
      <w:proofErr w:type="spellStart"/>
      <w:r w:rsidR="00D9157D" w:rsidRPr="00413FEF">
        <w:t>ofthe</w:t>
      </w:r>
      <w:proofErr w:type="spellEnd"/>
      <w:r w:rsidR="00D9157D" w:rsidRPr="00413FEF">
        <w:t xml:space="preserve"> underpinned by implicit or explicit </w:t>
      </w:r>
      <w:r w:rsidR="006A1884" w:rsidRPr="00413FEF">
        <w:t>theoretical structure</w:t>
      </w:r>
      <w:r w:rsidRPr="00413FEF">
        <w:t>s</w:t>
      </w:r>
      <w:r w:rsidR="006A1884" w:rsidRPr="00413FEF">
        <w:t xml:space="preserve"> for thinking about trust. Roughly speaking, there are two main theoretical approaches. In one, represented recently by the work of Paul Faulkner (2015) and Jacobo </w:t>
      </w:r>
      <w:proofErr w:type="spellStart"/>
      <w:r w:rsidR="006A1884" w:rsidRPr="00413FEF">
        <w:t>Domenicucci</w:t>
      </w:r>
      <w:proofErr w:type="spellEnd"/>
      <w:r w:rsidR="006A1884" w:rsidRPr="00413FEF">
        <w:t xml:space="preserve"> and Richard Holton (2017), trust is treated in the first instance as a </w:t>
      </w:r>
      <w:r w:rsidR="00746300">
        <w:t>two</w:t>
      </w:r>
      <w:r w:rsidR="006A1884" w:rsidRPr="00413FEF">
        <w:t>-place relation between people. It is taken to be an attitude parallel to the attitude of loving someone</w:t>
      </w:r>
      <w:r w:rsidR="00746300">
        <w:t>—</w:t>
      </w:r>
      <w:r w:rsidR="006A1884" w:rsidRPr="00413FEF">
        <w:t>an attitude that may be understood without reference to any</w:t>
      </w:r>
      <w:r w:rsidR="00746300">
        <w:t xml:space="preserve"> specific action it</w:t>
      </w:r>
      <w:r w:rsidR="006A1884" w:rsidRPr="00413FEF">
        <w:t xml:space="preserve"> disposes </w:t>
      </w:r>
      <w:r w:rsidR="00746300">
        <w:t>one</w:t>
      </w:r>
      <w:r w:rsidR="006A1884" w:rsidRPr="00413FEF">
        <w:t xml:space="preserve"> to </w:t>
      </w:r>
      <w:r w:rsidR="00746300">
        <w:t>perform</w:t>
      </w:r>
      <w:r w:rsidR="006A1884" w:rsidRPr="00413FEF">
        <w:t xml:space="preserve">. It disposes </w:t>
      </w:r>
      <w:r w:rsidR="00746300">
        <w:t xml:space="preserve">one </w:t>
      </w:r>
      <w:r w:rsidR="006A1884" w:rsidRPr="00413FEF">
        <w:t xml:space="preserve">to do nothing more specific than to grant discretion to the other person, and what this </w:t>
      </w:r>
      <w:r w:rsidR="00746300">
        <w:t>entails</w:t>
      </w:r>
      <w:r w:rsidR="00746300" w:rsidRPr="00413FEF">
        <w:t xml:space="preserve"> </w:t>
      </w:r>
      <w:r w:rsidR="006A1884" w:rsidRPr="00413FEF">
        <w:t>will vary from situation to situation.</w:t>
      </w:r>
      <w:r w:rsidR="00A26418">
        <w:rPr>
          <w:rStyle w:val="FootnoteReference"/>
        </w:rPr>
        <w:footnoteReference w:id="8"/>
      </w:r>
      <w:r w:rsidR="006A1884" w:rsidRPr="00413FEF">
        <w:t xml:space="preserve">  </w:t>
      </w:r>
    </w:p>
    <w:p w14:paraId="04DE802F" w14:textId="46450CDC" w:rsidR="006A1884" w:rsidRPr="00413FEF" w:rsidRDefault="006A1884" w:rsidP="00866C4D">
      <w:pPr>
        <w:spacing w:line="480" w:lineRule="exact"/>
        <w:ind w:firstLine="720"/>
      </w:pPr>
      <w:r w:rsidRPr="00413FEF">
        <w:t xml:space="preserve">According to this approach, it is possible to understand what it </w:t>
      </w:r>
      <w:r w:rsidR="00784EB6">
        <w:t>means</w:t>
      </w:r>
      <w:r w:rsidRPr="00413FEF">
        <w:t xml:space="preserve"> for someone to trust </w:t>
      </w:r>
      <w:r w:rsidR="00784EB6">
        <w:t xml:space="preserve">another person </w:t>
      </w:r>
      <w:r w:rsidRPr="00413FEF">
        <w:t xml:space="preserve">without relating this to any disposition to trust </w:t>
      </w:r>
      <w:r w:rsidR="00784EB6">
        <w:t>them</w:t>
      </w:r>
      <w:r w:rsidRPr="00413FEF">
        <w:t xml:space="preserve"> to do </w:t>
      </w:r>
      <w:r w:rsidR="00784EB6">
        <w:t>something</w:t>
      </w:r>
      <w:r w:rsidR="00784EB6" w:rsidRPr="00413FEF">
        <w:t xml:space="preserve"> </w:t>
      </w:r>
      <w:r w:rsidRPr="00413FEF">
        <w:t>in particular. Thus, understanding what it is for someone to do something in particular</w:t>
      </w:r>
      <w:r w:rsidR="00784EB6">
        <w:t>—</w:t>
      </w:r>
      <w:r w:rsidRPr="00413FEF">
        <w:t xml:space="preserve">the </w:t>
      </w:r>
      <w:r w:rsidR="00784EB6">
        <w:t>three</w:t>
      </w:r>
      <w:r w:rsidRPr="00413FEF">
        <w:t>-place relation of trust</w:t>
      </w:r>
      <w:r w:rsidR="00784EB6">
        <w:t>—</w:t>
      </w:r>
      <w:r w:rsidRPr="00413FEF">
        <w:t>should be based</w:t>
      </w:r>
      <w:r w:rsidR="00D9157D" w:rsidRPr="00413FEF">
        <w:t xml:space="preserve"> </w:t>
      </w:r>
      <w:r w:rsidRPr="00413FEF">
        <w:t xml:space="preserve">on an understanding of this general </w:t>
      </w:r>
      <w:r w:rsidR="00784EB6">
        <w:t>two</w:t>
      </w:r>
      <w:r w:rsidRPr="00413FEF">
        <w:t>-place relation of trust.</w:t>
      </w:r>
    </w:p>
    <w:p w14:paraId="3295901A" w14:textId="2053CFC6" w:rsidR="006A1884" w:rsidRPr="00413FEF" w:rsidRDefault="006A1884" w:rsidP="00866C4D">
      <w:pPr>
        <w:spacing w:line="480" w:lineRule="exact"/>
        <w:ind w:firstLine="720"/>
      </w:pPr>
      <w:r w:rsidRPr="00413FEF">
        <w:t>This approach faces some obvious difficulties. The most obvious</w:t>
      </w:r>
      <w:r w:rsidR="0056654A">
        <w:t>,</w:t>
      </w:r>
      <w:r w:rsidRPr="00413FEF">
        <w:t xml:space="preserve"> perhaps</w:t>
      </w:r>
      <w:r w:rsidR="0056654A">
        <w:t>,</w:t>
      </w:r>
      <w:r w:rsidRPr="00413FEF">
        <w:t xml:space="preserve"> is that a person may trust somebody to do one thing </w:t>
      </w:r>
      <w:r w:rsidR="0056654A">
        <w:t>but</w:t>
      </w:r>
      <w:r w:rsidR="0056654A" w:rsidRPr="00413FEF">
        <w:t xml:space="preserve"> </w:t>
      </w:r>
      <w:r w:rsidRPr="00413FEF">
        <w:t xml:space="preserve">not trust them to do another. However much I </w:t>
      </w:r>
      <w:r w:rsidRPr="00413FEF">
        <w:lastRenderedPageBreak/>
        <w:t xml:space="preserve">trust my friend in </w:t>
      </w:r>
      <w:r w:rsidR="005B4D79">
        <w:t xml:space="preserve">many </w:t>
      </w:r>
      <w:r w:rsidRPr="00413FEF">
        <w:t>ways</w:t>
      </w:r>
      <w:r w:rsidR="005B4D79">
        <w:t>—</w:t>
      </w:r>
      <w:r w:rsidRPr="00413FEF">
        <w:t>and trust them in particular to stand up for me if I need moral support</w:t>
      </w:r>
      <w:r w:rsidR="005B4D79">
        <w:t>—</w:t>
      </w:r>
      <w:r w:rsidRPr="00413FEF">
        <w:t>I might not trust them to bail me out of financial difficulties or save me from an escaped lion.</w:t>
      </w:r>
    </w:p>
    <w:p w14:paraId="7D56CB6F" w14:textId="4C6755E6" w:rsidR="006A1884" w:rsidRPr="00413FEF" w:rsidRDefault="006A1884" w:rsidP="00742F85">
      <w:pPr>
        <w:spacing w:line="480" w:lineRule="exact"/>
        <w:ind w:firstLine="720"/>
      </w:pPr>
      <w:r w:rsidRPr="00413FEF">
        <w:t xml:space="preserve">The other theoretical approach to trust takes the trusting </w:t>
      </w:r>
      <w:proofErr w:type="spellStart"/>
      <w:r w:rsidRPr="00413FEF">
        <w:rPr>
          <w:i/>
          <w:iCs/>
        </w:rPr>
        <w:t>behavior</w:t>
      </w:r>
      <w:proofErr w:type="spellEnd"/>
      <w:r w:rsidR="00E93F04">
        <w:rPr>
          <w:i/>
          <w:iCs/>
        </w:rPr>
        <w:t>,</w:t>
      </w:r>
      <w:r w:rsidRPr="00413FEF">
        <w:t xml:space="preserve"> rather than the trusting </w:t>
      </w:r>
      <w:r w:rsidRPr="00413FEF">
        <w:rPr>
          <w:i/>
          <w:iCs/>
        </w:rPr>
        <w:t>attitude</w:t>
      </w:r>
      <w:r w:rsidR="00E93F04">
        <w:rPr>
          <w:i/>
          <w:iCs/>
        </w:rPr>
        <w:t>,</w:t>
      </w:r>
      <w:r w:rsidRPr="00413FEF">
        <w:t xml:space="preserve"> to be basic. So the </w:t>
      </w:r>
      <w:r w:rsidR="005B4D79">
        <w:t>three</w:t>
      </w:r>
      <w:r w:rsidRPr="00413FEF">
        <w:t xml:space="preserve">-place relation of a person trusting another person to do something is taken to be more fundamental in the order of explanation than the </w:t>
      </w:r>
      <w:r w:rsidR="005B4D79">
        <w:t>two</w:t>
      </w:r>
      <w:r w:rsidRPr="00413FEF">
        <w:t>-place relation of a person trusting another person. As Harold Noonan (2021) has argued</w:t>
      </w:r>
      <w:r w:rsidR="00927D12" w:rsidRPr="00413FEF">
        <w:t>,</w:t>
      </w:r>
      <w:r w:rsidRPr="00413FEF">
        <w:t xml:space="preserve"> the </w:t>
      </w:r>
      <w:r w:rsidR="00E93F04">
        <w:t>two</w:t>
      </w:r>
      <w:r w:rsidRPr="00413FEF">
        <w:t xml:space="preserve">-place relation may be understood in terms of the </w:t>
      </w:r>
      <w:r w:rsidR="00E93F04">
        <w:t>three</w:t>
      </w:r>
      <w:r w:rsidRPr="00413FEF">
        <w:t>-place relation as follows: A trusts B if for a variety of tasks fixed by the context, A trusts B to be doing those tasks when required. Indeed</w:t>
      </w:r>
      <w:r w:rsidR="00E93F04">
        <w:t>,</w:t>
      </w:r>
      <w:r w:rsidRPr="00413FEF">
        <w:t xml:space="preserve"> it is really a </w:t>
      </w:r>
      <w:r w:rsidR="00E93F04">
        <w:t>four</w:t>
      </w:r>
      <w:r w:rsidRPr="00413FEF">
        <w:t>-place relation</w:t>
      </w:r>
      <w:r w:rsidR="00E93F04">
        <w:t>—</w:t>
      </w:r>
      <w:r w:rsidRPr="00413FEF">
        <w:t>A</w:t>
      </w:r>
      <w:r w:rsidR="00E93F04">
        <w:t>,</w:t>
      </w:r>
      <w:r w:rsidRPr="00413FEF">
        <w:t xml:space="preserve"> in doing </w:t>
      </w:r>
      <w:r w:rsidR="00E93F04" w:rsidRPr="00E93F04">
        <w:t>φ</w:t>
      </w:r>
      <w:r w:rsidR="00E93F04">
        <w:t>,</w:t>
      </w:r>
      <w:r w:rsidRPr="00413FEF">
        <w:t xml:space="preserve"> trusts B to be doing </w:t>
      </w:r>
      <w:r w:rsidR="00E93F04" w:rsidRPr="00E93F04">
        <w:t>ψ</w:t>
      </w:r>
      <w:r w:rsidR="00E93F04">
        <w:t>—</w:t>
      </w:r>
      <w:r w:rsidRPr="00413FEF">
        <w:t>that should be treated as basic.</w:t>
      </w:r>
    </w:p>
    <w:p w14:paraId="54212D92" w14:textId="7C09B68F" w:rsidR="006A1884" w:rsidRPr="00413FEF" w:rsidRDefault="006A1884" w:rsidP="00D9157D">
      <w:pPr>
        <w:spacing w:line="480" w:lineRule="exact"/>
        <w:ind w:firstLine="720"/>
      </w:pPr>
      <w:r w:rsidRPr="00413FEF">
        <w:t xml:space="preserve">What is key to that relation is the idea of reliance. A, in doing </w:t>
      </w:r>
      <w:r w:rsidR="00106396" w:rsidRPr="00E93F04">
        <w:t>φ</w:t>
      </w:r>
      <w:r w:rsidR="00106396">
        <w:rPr>
          <w:i/>
          <w:iCs/>
        </w:rPr>
        <w:t>,</w:t>
      </w:r>
      <w:r w:rsidRPr="00413FEF">
        <w:t xml:space="preserve"> is doing something with a goal that requires B to do their thing</w:t>
      </w:r>
      <w:r w:rsidR="00106396">
        <w:t>—</w:t>
      </w:r>
      <w:r w:rsidR="00106396" w:rsidRPr="00E93F04">
        <w:t>ψ</w:t>
      </w:r>
      <w:r w:rsidRPr="00413FEF">
        <w:t xml:space="preserve">. And an extra condition that is essential to this </w:t>
      </w:r>
      <w:r w:rsidR="00106396">
        <w:t>four</w:t>
      </w:r>
      <w:r w:rsidRPr="00413FEF">
        <w:t>-place relation, but is</w:t>
      </w:r>
      <w:r w:rsidR="00106396">
        <w:t xml:space="preserve"> not</w:t>
      </w:r>
      <w:r w:rsidRPr="00413FEF">
        <w:t xml:space="preserve"> always brought out in the philosophical analyses, is that what A is doing and what they are relying on B to be doing are part of the same plan or enterprise. The </w:t>
      </w:r>
      <w:proofErr w:type="spellStart"/>
      <w:r w:rsidRPr="00413FEF">
        <w:t>behavior</w:t>
      </w:r>
      <w:proofErr w:type="spellEnd"/>
      <w:r w:rsidRPr="00413FEF">
        <w:t xml:space="preserve"> that trust belongs in is collaboration. If A is trusting B</w:t>
      </w:r>
      <w:r w:rsidR="00106396">
        <w:t>,</w:t>
      </w:r>
      <w:r w:rsidRPr="00413FEF">
        <w:t xml:space="preserve"> then they are doing something as part of a collaborative enterprise</w:t>
      </w:r>
      <w:r w:rsidR="00D9157D" w:rsidRPr="00413FEF">
        <w:t>, where</w:t>
      </w:r>
      <w:r w:rsidR="00106396">
        <w:t>,</w:t>
      </w:r>
      <w:r w:rsidR="00D9157D" w:rsidRPr="00413FEF">
        <w:t xml:space="preserve"> by doing it, they are </w:t>
      </w:r>
      <w:r w:rsidRPr="00413FEF">
        <w:t>relying on B doing their part in the same enterprise.</w:t>
      </w:r>
      <w:r w:rsidR="00D9157D" w:rsidRPr="00413FEF">
        <w:t xml:space="preserve"> To take an example, i</w:t>
      </w:r>
      <w:r w:rsidRPr="00413FEF">
        <w:t>n</w:t>
      </w:r>
      <w:r w:rsidR="00D9157D" w:rsidRPr="00413FEF">
        <w:t xml:space="preserve"> a game of </w:t>
      </w:r>
      <w:r w:rsidRPr="00413FEF">
        <w:t>football</w:t>
      </w:r>
      <w:r w:rsidR="00106396">
        <w:t>,</w:t>
      </w:r>
      <w:r w:rsidRPr="00413FEF">
        <w:t xml:space="preserve"> a successful pass </w:t>
      </w:r>
      <w:r w:rsidR="00D9157D" w:rsidRPr="00413FEF">
        <w:t>would</w:t>
      </w:r>
      <w:r w:rsidRPr="00413FEF">
        <w:t xml:space="preserve"> depend on the activity of two people</w:t>
      </w:r>
      <w:r w:rsidR="00106396">
        <w:t>—</w:t>
      </w:r>
      <w:r w:rsidRPr="00413FEF">
        <w:t>the person kicking the ball and the person running into space to receive the pass. So</w:t>
      </w:r>
      <w:r w:rsidR="00106396">
        <w:t>,</w:t>
      </w:r>
      <w:r w:rsidRPr="00413FEF">
        <w:t xml:space="preserve"> a pass is a collaboration. If one player runs into space as part of that collaboration trusting the other to kick the ball through the channel, they are trusting their teammate to be doing that. At the same time</w:t>
      </w:r>
      <w:r w:rsidR="00D9157D" w:rsidRPr="00413FEF">
        <w:t>,</w:t>
      </w:r>
      <w:r w:rsidRPr="00413FEF">
        <w:t xml:space="preserve"> the player kicking the ball is trusting their teammate to be making the run </w:t>
      </w:r>
      <w:r w:rsidR="00D9157D" w:rsidRPr="00413FEF">
        <w:t>they had anti</w:t>
      </w:r>
      <w:r w:rsidR="00106396">
        <w:t>cipated</w:t>
      </w:r>
      <w:r w:rsidR="00D9157D" w:rsidRPr="00413FEF">
        <w:t>.</w:t>
      </w:r>
    </w:p>
    <w:p w14:paraId="3C827DDC" w14:textId="47D96B86" w:rsidR="006A1884" w:rsidRPr="00413FEF" w:rsidRDefault="006A1884" w:rsidP="00DE0C81">
      <w:pPr>
        <w:spacing w:line="480" w:lineRule="exact"/>
        <w:ind w:firstLine="720"/>
      </w:pPr>
      <w:r w:rsidRPr="00413FEF">
        <w:t xml:space="preserve">Consider another example: getting vaccinated. When I </w:t>
      </w:r>
      <w:r w:rsidR="00106396">
        <w:t xml:space="preserve">receive </w:t>
      </w:r>
      <w:r w:rsidRPr="00413FEF">
        <w:t>the jab</w:t>
      </w:r>
      <w:r w:rsidR="00106396">
        <w:t>,</w:t>
      </w:r>
      <w:r w:rsidRPr="00413FEF">
        <w:t xml:space="preserve"> I trust the medical experts to be supplying something safe and effective. The collaborative enterprise we are both engaged in is the vaccination program. In doing my part I am relying on them to be doing their part.  It is not quite true that they are also relying on me to do my part, though they are relying on enough of us to be doing our parts. So</w:t>
      </w:r>
      <w:r w:rsidR="00106396">
        <w:t>,</w:t>
      </w:r>
      <w:r w:rsidRPr="00413FEF">
        <w:t xml:space="preserve"> we might say that the medical experts are trusting the public at large to do their part in the vaccination program.</w:t>
      </w:r>
    </w:p>
    <w:p w14:paraId="647DD1E8" w14:textId="42C705F5" w:rsidR="006A1884" w:rsidRPr="00413FEF" w:rsidRDefault="006A1884" w:rsidP="00DE0C81">
      <w:pPr>
        <w:spacing w:line="480" w:lineRule="exact"/>
        <w:ind w:firstLine="720"/>
      </w:pPr>
      <w:r w:rsidRPr="00413FEF">
        <w:lastRenderedPageBreak/>
        <w:t xml:space="preserve">This simple idea that trust involves reliance within collaborations is sufficient to generate some interesting analysis of the ethical responsibilities to trust. The first question it raises in this context is what sorts of collaborative enterprises might generate ethical responsibilities. In the context of the PERITIA project, </w:t>
      </w:r>
      <w:r w:rsidR="00D1127A" w:rsidRPr="00413FEF">
        <w:t>it is</w:t>
      </w:r>
      <w:r w:rsidRPr="00413FEF">
        <w:t xml:space="preserve"> the collaborative enterprise of knowledge transfer. The ethical responsibilities generated by this enterprise alone are quite thin but remain of interest.</w:t>
      </w:r>
    </w:p>
    <w:p w14:paraId="49EA9203" w14:textId="43026C40" w:rsidR="006A1884" w:rsidRPr="00413FEF" w:rsidRDefault="006A1884" w:rsidP="00DE0C81">
      <w:pPr>
        <w:spacing w:line="480" w:lineRule="exact"/>
        <w:ind w:firstLine="720"/>
      </w:pPr>
      <w:r w:rsidRPr="00413FEF">
        <w:t>Knowledge transfer is a collaborative enterprise involving someone who knows and someone who learns. They are both essential to the process. The part of the expert</w:t>
      </w:r>
      <w:r w:rsidR="00FC0D7D">
        <w:t>—</w:t>
      </w:r>
      <w:r w:rsidRPr="00413FEF">
        <w:t>the knower</w:t>
      </w:r>
      <w:r w:rsidR="00FC0D7D">
        <w:t>—</w:t>
      </w:r>
      <w:r w:rsidRPr="00413FEF">
        <w:t>is to communicate truly and helpfully</w:t>
      </w:r>
      <w:r w:rsidR="00FC0D7D">
        <w:t>,</w:t>
      </w:r>
      <w:r w:rsidRPr="00413FEF">
        <w:t xml:space="preserve"> and the part of the learner is to understand and accept this</w:t>
      </w:r>
      <w:r w:rsidR="001A3D7A" w:rsidRPr="00413FEF">
        <w:t>, or in other words</w:t>
      </w:r>
      <w:r w:rsidR="00FC0D7D">
        <w:t>,</w:t>
      </w:r>
      <w:r w:rsidR="001A3D7A" w:rsidRPr="00413FEF">
        <w:t xml:space="preserve"> want to learn. </w:t>
      </w:r>
    </w:p>
    <w:p w14:paraId="2756E010" w14:textId="438F07BE" w:rsidR="006A1884" w:rsidRPr="00413FEF" w:rsidRDefault="006A1884" w:rsidP="00DE0C81">
      <w:pPr>
        <w:spacing w:line="480" w:lineRule="exact"/>
        <w:ind w:firstLine="720"/>
      </w:pPr>
      <w:r w:rsidRPr="00413FEF">
        <w:t>Looking at it this way</w:t>
      </w:r>
      <w:r w:rsidR="001A3D7A" w:rsidRPr="00413FEF">
        <w:t>,</w:t>
      </w:r>
      <w:r w:rsidRPr="00413FEF">
        <w:t xml:space="preserve"> it becomes clear that two things are required for someone to be motivated to accept what someone else is telling them. </w:t>
      </w:r>
      <w:r w:rsidR="00436C3F">
        <w:t xml:space="preserve">First, </w:t>
      </w:r>
      <w:r w:rsidRPr="00413FEF">
        <w:t>they must be motivated to engage in the collaborative enterprise</w:t>
      </w:r>
      <w:r w:rsidR="00436C3F">
        <w:t xml:space="preserve"> of</w:t>
      </w:r>
      <w:r w:rsidR="001A3D7A" w:rsidRPr="00413FEF">
        <w:t xml:space="preserve"> learning</w:t>
      </w:r>
      <w:r w:rsidRPr="00413FEF">
        <w:t xml:space="preserve">. </w:t>
      </w:r>
      <w:r w:rsidR="00436C3F">
        <w:t>Second,</w:t>
      </w:r>
      <w:r w:rsidRPr="00413FEF">
        <w:t xml:space="preserve"> they must be motivated to rely on that particular piece of testimony</w:t>
      </w:r>
      <w:r w:rsidR="00436C3F">
        <w:t>—that is,</w:t>
      </w:r>
      <w:r w:rsidR="00436C3F" w:rsidRPr="00413FEF">
        <w:t xml:space="preserve"> </w:t>
      </w:r>
      <w:r w:rsidRPr="00413FEF">
        <w:t>they must be willing to rely on the expert doing their part</w:t>
      </w:r>
      <w:r w:rsidR="00436C3F">
        <w:t>, namely,</w:t>
      </w:r>
      <w:r w:rsidRPr="00413FEF">
        <w:t xml:space="preserve"> telling the truth.</w:t>
      </w:r>
    </w:p>
    <w:p w14:paraId="373F2FD2" w14:textId="4A4E0675" w:rsidR="006A1884" w:rsidRPr="00413FEF" w:rsidRDefault="006A1884" w:rsidP="00866C4D">
      <w:pPr>
        <w:spacing w:line="480" w:lineRule="exact"/>
        <w:ind w:firstLine="720"/>
      </w:pPr>
      <w:r w:rsidRPr="00413FEF">
        <w:t xml:space="preserve">Ethical responsibility for the receiver of the knowledge only enters into this picture to the extent </w:t>
      </w:r>
      <w:r w:rsidR="001A018A" w:rsidRPr="00413FEF">
        <w:t xml:space="preserve">to which </w:t>
      </w:r>
      <w:r w:rsidRPr="00413FEF">
        <w:t xml:space="preserve">that individual has the ethical responsibility to know. While knowledge may be an end in itself, there is no ethical responsibility to know everything.  It is no failing of mine not to be interested in knowing which teams have won the men’s football World Cup over the last sixty years. And so the ethical issue of trust or distrust does not arise for me if some </w:t>
      </w:r>
      <w:r w:rsidR="001A3D7A" w:rsidRPr="00413FEF">
        <w:t xml:space="preserve">football fanatic </w:t>
      </w:r>
      <w:r w:rsidRPr="00413FEF">
        <w:t>is telling me the list of winners. On the other hand, I should know the names of the streets in my town if I am presenting myself as a taxi driver. As an academic</w:t>
      </w:r>
      <w:r w:rsidR="000F12C1">
        <w:t>,</w:t>
      </w:r>
      <w:r w:rsidRPr="00413FEF">
        <w:t xml:space="preserve"> I should know the regulations that govern my activities</w:t>
      </w:r>
      <w:r w:rsidR="000F12C1">
        <w:t>,</w:t>
      </w:r>
      <w:r w:rsidRPr="00413FEF">
        <w:t xml:space="preserve"> and I should know </w:t>
      </w:r>
      <w:r w:rsidR="001A3D7A" w:rsidRPr="00413FEF">
        <w:t xml:space="preserve">a good deal about </w:t>
      </w:r>
      <w:r w:rsidRPr="00413FEF">
        <w:t xml:space="preserve"> </w:t>
      </w:r>
      <w:r w:rsidR="001A3D7A" w:rsidRPr="00413FEF">
        <w:t xml:space="preserve">the subject </w:t>
      </w:r>
      <w:r w:rsidRPr="00413FEF">
        <w:t xml:space="preserve">I am teaching. </w:t>
      </w:r>
      <w:r w:rsidR="001A3D7A" w:rsidRPr="00413FEF">
        <w:t xml:space="preserve">Arguably, </w:t>
      </w:r>
      <w:r w:rsidRPr="00413FEF">
        <w:t xml:space="preserve">we all </w:t>
      </w:r>
      <w:r w:rsidR="001A3D7A" w:rsidRPr="00413FEF">
        <w:t xml:space="preserve">also </w:t>
      </w:r>
      <w:r w:rsidRPr="00413FEF">
        <w:t>have an ethical responsibility to know what is going on in the world to the extent that we are all potentially engaged</w:t>
      </w:r>
      <w:r w:rsidR="001A3D7A" w:rsidRPr="00413FEF">
        <w:t xml:space="preserve"> with the world and with </w:t>
      </w:r>
      <w:r w:rsidR="00440B2E">
        <w:t>one</w:t>
      </w:r>
      <w:r w:rsidR="00440B2E" w:rsidRPr="00413FEF">
        <w:t xml:space="preserve"> </w:t>
      </w:r>
      <w:r w:rsidR="00440B2E">
        <w:t>an</w:t>
      </w:r>
      <w:r w:rsidR="001A3D7A" w:rsidRPr="00413FEF">
        <w:t>other in social contexts</w:t>
      </w:r>
      <w:r w:rsidRPr="00413FEF">
        <w:t>.</w:t>
      </w:r>
    </w:p>
    <w:p w14:paraId="4AAF8FA0" w14:textId="05F3BF2D" w:rsidR="006A1884" w:rsidRPr="00413FEF" w:rsidRDefault="006A1884" w:rsidP="00866C4D">
      <w:pPr>
        <w:spacing w:line="480" w:lineRule="exact"/>
        <w:ind w:firstLine="720"/>
      </w:pPr>
      <w:r w:rsidRPr="00413FEF">
        <w:t xml:space="preserve">So the ethical responsibility to know things within some realm depends on one’s social role with respect to that realm. And when you do have an ethical responsibility to know something which you cannot work out for yourself, then you have a corresponding </w:t>
      </w:r>
      <w:r w:rsidRPr="00413FEF">
        <w:lastRenderedPageBreak/>
        <w:t>responsibility to engage in a collaborative exercise of knowledge transfer</w:t>
      </w:r>
      <w:r w:rsidR="001A3D7A" w:rsidRPr="00413FEF">
        <w:t xml:space="preserve"> and reception</w:t>
      </w:r>
      <w:r w:rsidRPr="00413FEF">
        <w:t xml:space="preserve">. </w:t>
      </w:r>
      <w:r w:rsidR="001A3D7A" w:rsidRPr="00413FEF">
        <w:t xml:space="preserve">This </w:t>
      </w:r>
      <w:r w:rsidRPr="00413FEF">
        <w:t xml:space="preserve">means </w:t>
      </w:r>
      <w:r w:rsidR="001A3D7A" w:rsidRPr="00413FEF">
        <w:t>we</w:t>
      </w:r>
      <w:r w:rsidRPr="00413FEF">
        <w:t xml:space="preserve"> have an ethical responsibility to trust or distrust appropriately</w:t>
      </w:r>
      <w:r w:rsidR="000A5F3D">
        <w:rPr>
          <w:lang w:val="hy-AM"/>
        </w:rPr>
        <w:t xml:space="preserve">։ </w:t>
      </w:r>
      <w:r w:rsidR="000A5F3D">
        <w:rPr>
          <w:lang w:val="en-US"/>
        </w:rPr>
        <w:t>to</w:t>
      </w:r>
      <w:r w:rsidRPr="00413FEF">
        <w:t xml:space="preserve"> accept what </w:t>
      </w:r>
      <w:r w:rsidR="000A5F3D">
        <w:t>a</w:t>
      </w:r>
      <w:r w:rsidR="000A5F3D" w:rsidRPr="00413FEF">
        <w:t xml:space="preserve"> </w:t>
      </w:r>
      <w:r w:rsidRPr="00413FEF">
        <w:t xml:space="preserve">trustworthy person tells </w:t>
      </w:r>
      <w:r w:rsidR="001A3D7A" w:rsidRPr="00413FEF">
        <w:t>us</w:t>
      </w:r>
      <w:r w:rsidR="000A5F3D">
        <w:t>,</w:t>
      </w:r>
      <w:r w:rsidR="001A3D7A" w:rsidRPr="00413FEF">
        <w:t xml:space="preserve"> </w:t>
      </w:r>
      <w:r w:rsidRPr="00413FEF">
        <w:t xml:space="preserve">and not what </w:t>
      </w:r>
      <w:r w:rsidR="000A5F3D">
        <w:t xml:space="preserve">an </w:t>
      </w:r>
      <w:r w:rsidRPr="00413FEF">
        <w:t>untrustworthy person</w:t>
      </w:r>
      <w:r w:rsidR="001A3D7A" w:rsidRPr="00413FEF">
        <w:t xml:space="preserve"> imparts, or at least</w:t>
      </w:r>
      <w:r w:rsidR="000A5F3D">
        <w:t>,</w:t>
      </w:r>
      <w:r w:rsidR="001A3D7A" w:rsidRPr="00413FEF">
        <w:t xml:space="preserve"> to do our best to distinguish between the two</w:t>
      </w:r>
      <w:r w:rsidRPr="00413FEF">
        <w:t xml:space="preserve">. </w:t>
      </w:r>
      <w:r w:rsidR="001A018A" w:rsidRPr="00413FEF">
        <w:t>T</w:t>
      </w:r>
      <w:r w:rsidRPr="00413FEF">
        <w:t xml:space="preserve">his is an ethical </w:t>
      </w:r>
      <w:r w:rsidR="000E08E0">
        <w:t>“</w:t>
      </w:r>
      <w:r w:rsidRPr="00413FEF">
        <w:t>should</w:t>
      </w:r>
      <w:r w:rsidR="000E08E0">
        <w:t>.”</w:t>
      </w:r>
      <w:r w:rsidRPr="00413FEF">
        <w:t xml:space="preserve">  And if </w:t>
      </w:r>
      <w:r w:rsidR="001A3D7A" w:rsidRPr="00413FEF">
        <w:t xml:space="preserve">we </w:t>
      </w:r>
      <w:r w:rsidRPr="00413FEF">
        <w:t>do</w:t>
      </w:r>
      <w:r w:rsidR="004719A7">
        <w:t xml:space="preserve"> not</w:t>
      </w:r>
      <w:r w:rsidRPr="00413FEF">
        <w:t xml:space="preserve"> take </w:t>
      </w:r>
      <w:r w:rsidR="004719A7">
        <w:t>sufficient</w:t>
      </w:r>
      <w:r w:rsidR="004719A7" w:rsidRPr="00413FEF">
        <w:t xml:space="preserve"> </w:t>
      </w:r>
      <w:r w:rsidRPr="00413FEF">
        <w:t>care to establish whom to trust</w:t>
      </w:r>
      <w:r w:rsidR="004719A7">
        <w:t>—</w:t>
      </w:r>
      <w:r w:rsidR="001A3D7A" w:rsidRPr="00413FEF">
        <w:t>at least</w:t>
      </w:r>
      <w:r w:rsidRPr="00413FEF">
        <w:t xml:space="preserve"> </w:t>
      </w:r>
      <w:r w:rsidR="001A3D7A" w:rsidRPr="00413FEF">
        <w:t>on occasions where</w:t>
      </w:r>
      <w:r w:rsidR="004719A7">
        <w:t xml:space="preserve"> we have </w:t>
      </w:r>
      <w:r w:rsidRPr="00413FEF">
        <w:t>an ethical responsibility to know</w:t>
      </w:r>
      <w:r w:rsidR="004719A7">
        <w:t>—</w:t>
      </w:r>
      <w:r w:rsidRPr="00413FEF">
        <w:t>then that lack of care is ethically</w:t>
      </w:r>
      <w:r w:rsidR="001A3D7A" w:rsidRPr="00413FEF">
        <w:t xml:space="preserve"> blameworthy epistemic </w:t>
      </w:r>
      <w:r w:rsidRPr="00413FEF">
        <w:t>negligence.</w:t>
      </w:r>
    </w:p>
    <w:p w14:paraId="301AE031" w14:textId="6774402E" w:rsidR="006A1884" w:rsidRPr="00413FEF" w:rsidRDefault="006A1884" w:rsidP="00866C4D">
      <w:pPr>
        <w:spacing w:line="480" w:lineRule="exact"/>
        <w:ind w:firstLine="720"/>
      </w:pPr>
      <w:r w:rsidRPr="00413FEF">
        <w:t>The prime minister who is imposing a new set of rules on the citizens of a country concerning the banning of parties during a pandemic is under an ethical obligation to know what those rules are. And if s/he trusts the word of a senior civil servant who says it will be fine to have lots of drinks, karaoke</w:t>
      </w:r>
      <w:r w:rsidR="00B635BF">
        <w:t>,</w:t>
      </w:r>
      <w:r w:rsidRPr="00413FEF">
        <w:t xml:space="preserve"> and party games until two in the morning because </w:t>
      </w:r>
      <w:r w:rsidR="00B635BF">
        <w:t xml:space="preserve">the event takes place </w:t>
      </w:r>
      <w:r w:rsidRPr="00413FEF">
        <w:t xml:space="preserve">in one’s </w:t>
      </w:r>
      <w:r w:rsidR="00B635BF">
        <w:t>work</w:t>
      </w:r>
      <w:r w:rsidRPr="00413FEF">
        <w:t xml:space="preserve">place, then that trust might be </w:t>
      </w:r>
      <w:r w:rsidR="00B635BF">
        <w:t>regarded as</w:t>
      </w:r>
      <w:r w:rsidRPr="00413FEF">
        <w:t xml:space="preserve"> ethically negligent.</w:t>
      </w:r>
    </w:p>
    <w:p w14:paraId="0F8C18F4" w14:textId="77777777" w:rsidR="006A1884" w:rsidRPr="00413FEF" w:rsidRDefault="006A1884" w:rsidP="00E521A8">
      <w:pPr>
        <w:spacing w:line="480" w:lineRule="exact"/>
      </w:pPr>
    </w:p>
    <w:p w14:paraId="66C82C65" w14:textId="6C6B62AC" w:rsidR="006A1884" w:rsidRPr="00413FEF" w:rsidRDefault="006A1884" w:rsidP="00702C74">
      <w:pPr>
        <w:spacing w:line="480" w:lineRule="exact"/>
      </w:pPr>
      <w:r w:rsidRPr="00413FEF">
        <w:t xml:space="preserve">  </w:t>
      </w:r>
    </w:p>
    <w:p w14:paraId="5CCD2BEF" w14:textId="2F180BD4" w:rsidR="006A1884" w:rsidRPr="00413FEF" w:rsidRDefault="006A1884" w:rsidP="006729B4">
      <w:pPr>
        <w:spacing w:line="360" w:lineRule="auto"/>
        <w:rPr>
          <w:b/>
          <w:bCs/>
        </w:rPr>
      </w:pPr>
      <w:r w:rsidRPr="00413FEF">
        <w:rPr>
          <w:b/>
          <w:bCs/>
        </w:rPr>
        <w:t xml:space="preserve">Part IV. </w:t>
      </w:r>
      <w:r w:rsidR="008543EE" w:rsidRPr="00413FEF">
        <w:rPr>
          <w:b/>
          <w:bCs/>
        </w:rPr>
        <w:t>Dealing</w:t>
      </w:r>
      <w:r w:rsidRPr="00413FEF">
        <w:rPr>
          <w:b/>
          <w:bCs/>
        </w:rPr>
        <w:t xml:space="preserve"> </w:t>
      </w:r>
      <w:r w:rsidR="008543EE" w:rsidRPr="00413FEF">
        <w:rPr>
          <w:b/>
          <w:bCs/>
        </w:rPr>
        <w:t>with Distrust</w:t>
      </w:r>
    </w:p>
    <w:p w14:paraId="4BDD7699" w14:textId="02754113" w:rsidR="006A1884" w:rsidRPr="00413FEF" w:rsidRDefault="006A1884" w:rsidP="00BD2F34">
      <w:pPr>
        <w:spacing w:line="360" w:lineRule="auto"/>
        <w:rPr>
          <w:b/>
          <w:bCs/>
          <w:lang w:val="en-GB"/>
        </w:rPr>
      </w:pPr>
    </w:p>
    <w:p w14:paraId="3C6F4B4A" w14:textId="5581ACF1" w:rsidR="006A1884" w:rsidRPr="00413FEF" w:rsidRDefault="006A1884" w:rsidP="004756F6">
      <w:pPr>
        <w:spacing w:line="360" w:lineRule="auto"/>
        <w:ind w:firstLine="720"/>
      </w:pPr>
      <w:r w:rsidRPr="00413FEF">
        <w:t xml:space="preserve">Before examining the question of distrust in science, we would </w:t>
      </w:r>
      <w:r w:rsidR="007C75CE">
        <w:t xml:space="preserve">first </w:t>
      </w:r>
      <w:r w:rsidRPr="00413FEF">
        <w:t xml:space="preserve">like to examine the question what it means to trust science and scientists. One difficulty is the applicability of reflections on trust, often generated in relation to individuals, to the case of science and scientific experts. Scientific policy advice is generally produced by groups rather than individuals. This, on the one hand, can lead to greater trustworthiness, as Naomi Oreskes </w:t>
      </w:r>
      <w:r w:rsidRPr="00C76FB3">
        <w:fldChar w:fldCharType="begin"/>
      </w:r>
      <w:r w:rsidRPr="00413FEF">
        <w:instrText xml:space="preserve"> ADDIN ZOTERO_ITEM CSL_CITATION {"citationID":"Lrmpa5rd","properties":{"formattedCitation":"(Oreskes et al., 2019)","plainCitation":"(Oreskes et al., 2019)","dontUpdate":true,"noteIndex":0},"citationItems":[{"id":341,"uris":["http://zotero.org/users/local/5grjdT5j/items/CRSL369I"],"uri":["http://zotero.org/users/local/5grjdT5j/items/CRSL369I"],"itemData":{"id":341,"type":"book","abstract":"Why the social character of scientific knowledge makes it trustworthyDo doctors really know what they are talking about when they tell us vaccines are safe? Should we take climate experts at their word when they warn us about the perils of global warming? Why should we trust science when our own politicians don't? In this landmark book, Naomi Oreskes offers a bold and compelling defense of science, revealing why the social character of scientific knowledge is its greatest strength―and the greatest reason we can trust it.Tracing the history and philosophy of science from the late nineteenth century to today, Oreskes explains that, contrary to popular belief, there is no single scientific method. Rather, the trustworthiness of scientific claims derives from the social process by which they are rigorously vetted. This process is not perfect―nothing ever is when humans are involved―but she draws vital lessons from cases where scientists got it wrong. Oreskes shows how consensus is a crucial indicator of when a scientific matter has been settled, and when the knowledge produced is likely to be trustworthy.Based on the Tanner Lectures on Human Values at Princeton University, this timely and provocative book features critical responses by climate experts Ottmar Edenhofer and Martin Kowarsch, political scientist Jon Krosnick, philosopher of science Marc Lange, and science historian Susan Lindee, as well as a foreword by political theorist Stephen Macedo.","event-place":"Princeton, NJ","ISBN":"978-0-691-17900-1","language":"English","number-of-pages":"376","publisher":"Princeton University Press","publisher-place":"Princeton, NJ","source":"Amazon","title":"Why Trust Science?","author":[{"family":"Oreskes","given":"Naomi"},{"family":"Edenhofer","given":"Ottmar"},{"family":"Krosnick","given":"Jon"},{"family":"Lindee","given":"M. Susan"},{"family":"Lange","given":"Marc"},{"family":"Kowarsch","given":"Martin"}],"editor":[{"family":"Macedo","given":"Stephen"}],"issued":{"date-parts":[["2019",10,22]]}}}],"schema":"https://github.com/citation-style-language/schema/raw/master/csl-citation.json"} </w:instrText>
      </w:r>
      <w:r w:rsidRPr="00C76FB3">
        <w:fldChar w:fldCharType="separate"/>
      </w:r>
      <w:r w:rsidRPr="00413FEF">
        <w:rPr>
          <w:noProof/>
        </w:rPr>
        <w:t>(2019)</w:t>
      </w:r>
      <w:r w:rsidRPr="00C76FB3">
        <w:fldChar w:fldCharType="end"/>
      </w:r>
      <w:r w:rsidRPr="00413FEF">
        <w:t xml:space="preserve"> has argued, because the collective nature of science means greater checks and lower fallibility. On the other hand, while it is intuitively easy to think about trust in individuals, trust in groups may seem too abstract to grasp.</w:t>
      </w:r>
      <w:r w:rsidR="00A26418">
        <w:rPr>
          <w:rStyle w:val="FootnoteReference"/>
        </w:rPr>
        <w:footnoteReference w:id="9"/>
      </w:r>
      <w:r w:rsidRPr="00413FEF">
        <w:t xml:space="preserve"> The absence of some elements of trust such as mutual relationships, personal acquaintance, </w:t>
      </w:r>
      <w:r w:rsidR="007C75CE">
        <w:t xml:space="preserve">and </w:t>
      </w:r>
      <w:r w:rsidRPr="00413FEF">
        <w:t xml:space="preserve">emotional affect </w:t>
      </w:r>
      <w:r w:rsidR="00B2683D" w:rsidRPr="00413FEF">
        <w:t>seems to suggest that</w:t>
      </w:r>
      <w:r w:rsidRPr="00413FEF">
        <w:t xml:space="preserve"> trust, </w:t>
      </w:r>
      <w:r w:rsidR="007C75CE">
        <w:t>due to</w:t>
      </w:r>
      <w:r w:rsidRPr="00413FEF">
        <w:t xml:space="preserve"> its ethical dimension, is not a fitting concept for science and the detached objectivity that science aims </w:t>
      </w:r>
      <w:r w:rsidR="007C75CE">
        <w:t>to achieve</w:t>
      </w:r>
      <w:r w:rsidRPr="00413FEF">
        <w:t>. Arguing against those who believe that objectivity requires a shared basis for trust, and that trust is necessary on the part of the public to believe experts (e.g.</w:t>
      </w:r>
      <w:r w:rsidR="00073D4D">
        <w:t>,</w:t>
      </w:r>
      <w:r w:rsidRPr="00413FEF">
        <w:t xml:space="preserve"> Scheman</w:t>
      </w:r>
      <w:r w:rsidR="00073D4D">
        <w:t>,</w:t>
      </w:r>
      <w:r w:rsidRPr="00413FEF">
        <w:t xml:space="preserve"> 2011), Koskinen</w:t>
      </w:r>
      <w:r w:rsidR="00B2683D" w:rsidRPr="00413FEF">
        <w:t xml:space="preserve"> (2020)</w:t>
      </w:r>
      <w:r w:rsidRPr="00413FEF">
        <w:t xml:space="preserve"> claims that they fail to distinguish between trust and reliance, and that the latter is more applicable to scientific objectivity: following </w:t>
      </w:r>
      <w:r w:rsidRPr="00413FEF">
        <w:lastRenderedPageBreak/>
        <w:t>Baier (1986), it is trust that can be betrayed, not reliance; people can betray us, not processes. Koskinen denies that we can trust science, but not that we can trust scientists. However, she introduces a difficulty insofar as the object of trust in scientists is science, and scientists are representative of scientific objectivity.</w:t>
      </w:r>
    </w:p>
    <w:p w14:paraId="14A837E4" w14:textId="1A34A0C4" w:rsidR="006A1884" w:rsidRPr="00413FEF" w:rsidRDefault="006A1884" w:rsidP="00BD2F34">
      <w:pPr>
        <w:spacing w:line="360" w:lineRule="auto"/>
        <w:ind w:firstLine="720"/>
      </w:pPr>
      <w:r w:rsidRPr="00413FEF">
        <w:t xml:space="preserve">Using the same distinction, </w:t>
      </w:r>
      <w:r w:rsidRPr="00C76FB3">
        <w:fldChar w:fldCharType="begin"/>
      </w:r>
      <w:r w:rsidRPr="00413FEF">
        <w:instrText xml:space="preserve"> ADDIN ZOTERO_ITEM CSL_CITATION {"citationID":"Awl3wXiu","properties":{"formattedCitation":"(Hawley, 2017)","plainCitation":"(Hawley, 2017)","dontUpdate":true,"noteIndex":0},"citationItems":[{"id":319,"uris":["http://zotero.org/users/local/5grjdT5j/items/RK2PRMUX"],"uri":["http://zotero.org/users/local/5grjdT5j/items/RK2PRMUX"],"itemData":{"id":319,"type":"chapter","abstract":"Beyond philosophy, discussions of trust and trustworthiness often concern collective entities such as corporations, states, and social groups. But much philosophical work takes trust in an individual person as paradigmatic, distinguishing such trust from mere reliance. This chapter explores the distinction between trustworthiness and mere reliability as it applies to collectives, arguing that the distinction does not have the same significance as it has in the individual case.","ISBN":"978-0-19-873254-9","language":"eng","note":"Accepted: 2019-03-02T00:38:23Z","publisher":"Oxford University Press","source":"research-repository.st-andrews.ac.uk","title":"Trustworthy groups and organisations","URL":"https://research-repository.st-andrews.ac.uk/handle/10023/17203","author":[{"family":"Hawley","given":"Katherine Jane"}],"accessed":{"date-parts":[["2021",4,16]]},"issued":{"date-parts":[["2017",3,2]]}}}],"schema":"https://github.com/citation-style-language/schema/raw/master/csl-citation.json"} </w:instrText>
      </w:r>
      <w:r w:rsidRPr="00C76FB3">
        <w:fldChar w:fldCharType="separate"/>
      </w:r>
      <w:r w:rsidRPr="00413FEF">
        <w:t>Hawley (2017)</w:t>
      </w:r>
      <w:r w:rsidRPr="00C76FB3">
        <w:fldChar w:fldCharType="end"/>
      </w:r>
      <w:r w:rsidRPr="00413FEF">
        <w:t xml:space="preserve"> argues that, with groups, trust and reliance are far more similar than they are in the case of individuals. Hawley compares trust and reliability in individuals and in groups, focusing on testimony, and concludes that in group testimony</w:t>
      </w:r>
      <w:r w:rsidR="00EB16A0">
        <w:t>,</w:t>
      </w:r>
      <w:r w:rsidRPr="00413FEF">
        <w:t xml:space="preserve"> the practices can be described without resorting to the distinction between trust and reliance. A further difficulty with the very question of the difference between individual and group trust is the fact that in public communication it is not straightforward to make this distinction in the first place. Jennifer </w:t>
      </w:r>
      <w:r w:rsidRPr="00C76FB3">
        <w:fldChar w:fldCharType="begin"/>
      </w:r>
      <w:r w:rsidRPr="00413FEF">
        <w:instrText xml:space="preserve"> ADDIN ZOTERO_ITEM CSL_CITATION {"citationID":"QcqA4dR3","properties":{"formattedCitation":"(Lackey, 2015)","plainCitation":"(Lackey, 2015)","dontUpdate":true,"noteIndex":0},"citationItems":[{"id":397,"uris":["http://zotero.org/users/local/5grjdT5j/items/IPEUXRTP"],"uri":["http://zotero.org/users/local/5grjdT5j/items/IPEUXRTP"],"itemData":{"id":397,"type":"article-journal","container-title":"Essays in Collective Epistemology","DOI":"10.1093/acprof:oso/9780199665792.003.0004","language":"English (US)","note":"publisher: Oxford University Press","page":"64-94","source":"www.scholars.northwestern.edu","title":"A Deflationary Account of Group Testimony","author":[{"family":"Lackey","given":"Jennifer Amy"}],"issued":{"date-parts":[["2015"]]}}}],"schema":"https://github.com/citation-style-language/schema/raw/master/csl-citation.json"} </w:instrText>
      </w:r>
      <w:r w:rsidRPr="00C76FB3">
        <w:fldChar w:fldCharType="separate"/>
      </w:r>
      <w:r w:rsidRPr="00413FEF">
        <w:rPr>
          <w:noProof/>
        </w:rPr>
        <w:t>Lackey (201</w:t>
      </w:r>
      <w:r w:rsidR="008B3ABF" w:rsidRPr="00413FEF">
        <w:rPr>
          <w:noProof/>
        </w:rPr>
        <w:t>8</w:t>
      </w:r>
      <w:r w:rsidRPr="00413FEF">
        <w:rPr>
          <w:noProof/>
        </w:rPr>
        <w:t>)</w:t>
      </w:r>
      <w:r w:rsidRPr="00C76FB3">
        <w:fldChar w:fldCharType="end"/>
      </w:r>
      <w:r w:rsidRPr="00413FEF">
        <w:t xml:space="preserve"> argues that, when a group </w:t>
      </w:r>
      <w:r w:rsidR="00EB16A0">
        <w:t>“</w:t>
      </w:r>
      <w:r w:rsidRPr="00413FEF">
        <w:t>speaks through</w:t>
      </w:r>
      <w:r w:rsidR="00EB16A0">
        <w:t>”</w:t>
      </w:r>
      <w:r w:rsidRPr="00413FEF">
        <w:t xml:space="preserve"> a spokesperson, the group’s testimony simply is the spokesperson’s testimony; for John (2018)</w:t>
      </w:r>
      <w:r w:rsidR="00EB16A0">
        <w:t>,</w:t>
      </w:r>
      <w:r w:rsidRPr="00413FEF">
        <w:t xml:space="preserve"> individual scientists represent the consensus; </w:t>
      </w:r>
      <w:r w:rsidR="00EB16A0">
        <w:t>while</w:t>
      </w:r>
      <w:r w:rsidR="00EB16A0" w:rsidRPr="00413FEF">
        <w:t xml:space="preserve"> </w:t>
      </w:r>
      <w:r w:rsidRPr="00413FEF">
        <w:t>Hawley (2017) claims that responsibility for assertion lies with the group. Further, Hawley suggests that in many cases of trust in groups</w:t>
      </w:r>
      <w:r w:rsidR="00EB16A0">
        <w:t>—</w:t>
      </w:r>
      <w:r w:rsidRPr="00413FEF">
        <w:t>such as scientists</w:t>
      </w:r>
      <w:r w:rsidR="00EB16A0">
        <w:t>—</w:t>
      </w:r>
      <w:r w:rsidRPr="00413FEF">
        <w:t xml:space="preserve">the public is actually trusting (or distrusting) individual scientists; conversely, group membership influences the level of trust in individuals. This makes identifying the specificity of trust in experts as a group rather difficult. </w:t>
      </w:r>
    </w:p>
    <w:p w14:paraId="1474EFC9" w14:textId="2A4B2E8F" w:rsidR="006A1884" w:rsidRPr="00413FEF" w:rsidRDefault="006A1884" w:rsidP="00BD2F34">
      <w:pPr>
        <w:spacing w:line="360" w:lineRule="auto"/>
        <w:ind w:firstLine="720"/>
      </w:pPr>
      <w:r w:rsidRPr="00413FEF">
        <w:t>Nonetheless, as Hawley points out, in ordinary language we do talk meaningfully about trust in entities other than individuals, including groups, and at least some features of individual trust, as we have seen, remain applicable to group trust. Whether public trust is more properly applicable to the individual scientist or the group, and whether the spokesperson is properly trusted as an individual or representative of group or group consensus, it remains true that the public has attitudes, beliefs</w:t>
      </w:r>
      <w:r w:rsidR="00EC440D">
        <w:t>,</w:t>
      </w:r>
      <w:r w:rsidRPr="00413FEF">
        <w:t xml:space="preserve"> and emotions of trust and distrust toward scientific experts, and that this connects with the ethical issues of public’s vulnerability and autonomy, expert’s authority and power, and the practical beneficial or detrimental consequences of these trust relationships for the general public. </w:t>
      </w:r>
    </w:p>
    <w:p w14:paraId="3672BF87" w14:textId="19DC0826" w:rsidR="006A1884" w:rsidRPr="008E0904" w:rsidRDefault="006A1884" w:rsidP="004756F6">
      <w:pPr>
        <w:spacing w:after="240" w:line="360" w:lineRule="auto"/>
        <w:ind w:firstLine="720"/>
      </w:pPr>
      <w:r w:rsidRPr="00413FEF">
        <w:t>The substitution of trust by reliance</w:t>
      </w:r>
      <w:r w:rsidR="0065145D" w:rsidRPr="00413FEF">
        <w:t>, moreover,</w:t>
      </w:r>
      <w:r w:rsidRPr="00413FEF">
        <w:t xml:space="preserve"> does not work if we consider the situational demands of specific cases of the science/policy nexus. To take </w:t>
      </w:r>
      <w:r w:rsidR="00B15806" w:rsidRPr="00413FEF">
        <w:t>an example for our recent shared past</w:t>
      </w:r>
      <w:r w:rsidRPr="00413FEF">
        <w:t xml:space="preserve">, trust, rather than mere reliance, </w:t>
      </w:r>
      <w:r w:rsidR="00B15806" w:rsidRPr="00413FEF">
        <w:t xml:space="preserve">often was </w:t>
      </w:r>
      <w:r w:rsidRPr="00413FEF">
        <w:t xml:space="preserve">the appropriate doxastic attitude </w:t>
      </w:r>
      <w:r w:rsidR="00B15806" w:rsidRPr="00413FEF">
        <w:t xml:space="preserve">toward </w:t>
      </w:r>
      <w:r w:rsidRPr="00413FEF">
        <w:t xml:space="preserve"> </w:t>
      </w:r>
      <w:r w:rsidR="00EC440D">
        <w:t xml:space="preserve">the </w:t>
      </w:r>
      <w:r w:rsidRPr="00413FEF">
        <w:t>COVID-19 stringent public policy measures</w:t>
      </w:r>
      <w:r w:rsidR="00B15806" w:rsidRPr="00413FEF">
        <w:t xml:space="preserve"> and calls for </w:t>
      </w:r>
      <w:r w:rsidRPr="00413FEF">
        <w:t>vaccination</w:t>
      </w:r>
      <w:r w:rsidR="00B15806" w:rsidRPr="00413FEF">
        <w:t>. The conditions of uncertainty and novelty we faced frequently</w:t>
      </w:r>
      <w:r w:rsidRPr="00413FEF">
        <w:t xml:space="preserve"> involve</w:t>
      </w:r>
      <w:r w:rsidR="00B15806" w:rsidRPr="00413FEF">
        <w:t>d the</w:t>
      </w:r>
      <w:r w:rsidRPr="00413FEF">
        <w:t xml:space="preserve"> acceptance of risk in the face of the possibility of harm</w:t>
      </w:r>
      <w:r w:rsidR="00B15806" w:rsidRPr="00413FEF">
        <w:t xml:space="preserve"> and </w:t>
      </w:r>
      <w:r w:rsidRPr="00413FEF">
        <w:t>substantial sacrifice</w:t>
      </w:r>
      <w:r w:rsidR="00B15806" w:rsidRPr="00413FEF">
        <w:t xml:space="preserve"> of bodily autonomy by following </w:t>
      </w:r>
      <w:r w:rsidRPr="00413FEF">
        <w:t xml:space="preserve">expert advice. Unlike reliance, trust invokes a range of emotional and evaluative responses, </w:t>
      </w:r>
      <w:r w:rsidRPr="00413FEF">
        <w:lastRenderedPageBreak/>
        <w:t xml:space="preserve">including a sense of risk-taking, the possibility of feeling betrayed </w:t>
      </w:r>
      <w:r w:rsidRPr="00C76FB3">
        <w:fldChar w:fldCharType="begin"/>
      </w:r>
      <w:r w:rsidRPr="00413FEF">
        <w:instrText xml:space="preserve"> ADDIN ZOTERO_ITEM CSL_CITATION {"citationID":"1vLBmZdR","properties":{"formattedCitation":"(Baier 1986)","plainCitation":"(Baier 1986)","noteIndex":0},"citationItems":[{"id":259,"uris":["http://zotero.org/users/local/5grjdT5j/items/U4PFYUM3"],"uri":["http://zotero.org/users/local/5grjdT5j/items/U4PFYUM3"],"itemData":{"id":259,"type":"article-journal","container-title":"Ethics","DOI":"10.1086/292745","issue":"2","note":"publisher: University of Chicago Press","page":"231–260","source":"PhilPapers","title":"Trust and Antitrust","volume":"96","author":[{"family":"Baier","given":"Annette"}],"issued":{"date-parts":[["1986"]]}}}],"schema":"https://github.com/citation-style-language/schema/raw/master/csl-citation.json"} </w:instrText>
      </w:r>
      <w:r w:rsidRPr="00C76FB3">
        <w:fldChar w:fldCharType="separate"/>
      </w:r>
      <w:r w:rsidRPr="00413FEF">
        <w:rPr>
          <w:noProof/>
        </w:rPr>
        <w:t>(Baier</w:t>
      </w:r>
      <w:r w:rsidR="00711037">
        <w:rPr>
          <w:noProof/>
        </w:rPr>
        <w:t>,</w:t>
      </w:r>
      <w:r w:rsidRPr="00413FEF">
        <w:rPr>
          <w:noProof/>
        </w:rPr>
        <w:t xml:space="preserve"> 1986)</w:t>
      </w:r>
      <w:r w:rsidRPr="00C76FB3">
        <w:fldChar w:fldCharType="end"/>
      </w:r>
      <w:r w:rsidRPr="00413FEF">
        <w:t xml:space="preserve">, and an engaged attitude rather than a spectatorial one </w:t>
      </w:r>
      <w:r w:rsidRPr="00C76FB3">
        <w:fldChar w:fldCharType="begin"/>
      </w:r>
      <w:r w:rsidRPr="00413FEF">
        <w:instrText xml:space="preserve"> ADDIN ZOTERO_ITEM CSL_CITATION {"citationID":"NO4qAMZD","properties":{"formattedCitation":"(Holton 1994)","plainCitation":"(Holton 1994)","noteIndex":0},"citationItems":[{"id":610,"uris":["http://zotero.org/users/local/5grjdT5j/items/BTVQQUFW"],"uri":["http://zotero.org/users/local/5grjdT5j/items/BTVQQUFW"],"itemData":{"id":610,"type":"article-journal","container-title":"Australasian Journal of Philosophy","DOI":"10.1080/00048409412345881","issue":"1","note":"publisher: Taylor &amp; Francis","page":"63–76","source":"PhilPapers","title":"Deciding to Trust, Coming to Believe","volume":"72","author":[{"family":"Holton","given":"Richard"}],"issued":{"date-parts":[["1994"]]}}}],"schema":"https://github.com/citation-style-language/schema/raw/master/csl-citation.json"} </w:instrText>
      </w:r>
      <w:r w:rsidRPr="00C76FB3">
        <w:fldChar w:fldCharType="separate"/>
      </w:r>
      <w:r w:rsidRPr="00413FEF">
        <w:rPr>
          <w:noProof/>
        </w:rPr>
        <w:t>(Holton</w:t>
      </w:r>
      <w:r w:rsidR="00711037">
        <w:rPr>
          <w:noProof/>
        </w:rPr>
        <w:t>,</w:t>
      </w:r>
      <w:r w:rsidRPr="00413FEF">
        <w:rPr>
          <w:noProof/>
        </w:rPr>
        <w:t xml:space="preserve"> 1994)</w:t>
      </w:r>
      <w:r w:rsidRPr="00C76FB3">
        <w:fldChar w:fldCharType="end"/>
      </w:r>
      <w:r w:rsidRPr="00413FEF">
        <w:t xml:space="preserve">.  As we have seen, when we trust, we make ourselves vulnerable, and this is especially true when trust requires us to </w:t>
      </w:r>
      <w:r w:rsidRPr="00413FEF">
        <w:rPr>
          <w:i/>
          <w:iCs/>
        </w:rPr>
        <w:t>act</w:t>
      </w:r>
      <w:r w:rsidRPr="00413FEF">
        <w:t xml:space="preserve"> in specific ways, and these actions could affect our lifestyle or our health. The trust required, of course, is not blind, and is informed, among other things, by the reputation, the track record of past performances, and the success or failures of the experts. But in </w:t>
      </w:r>
      <w:r w:rsidR="00F57A55" w:rsidRPr="00413FEF">
        <w:t xml:space="preserve">the </w:t>
      </w:r>
      <w:r w:rsidRPr="00413FEF">
        <w:t xml:space="preserve">case </w:t>
      </w:r>
      <w:r w:rsidR="00F57A55" w:rsidRPr="00413FEF">
        <w:t xml:space="preserve">of </w:t>
      </w:r>
      <w:r w:rsidRPr="00413FEF">
        <w:t>COVID-19, the extent of the knowledge gap between the experts and laypeople, coupled with the urgency of</w:t>
      </w:r>
      <w:r w:rsidR="002C286E">
        <w:t xml:space="preserve"> </w:t>
      </w:r>
      <w:r w:rsidRPr="00413FEF">
        <w:t xml:space="preserve">decisions </w:t>
      </w:r>
      <w:r w:rsidR="002C286E">
        <w:t>based on</w:t>
      </w:r>
      <w:r w:rsidRPr="00413FEF">
        <w:t xml:space="preserve"> scientific advice and the high stakes </w:t>
      </w:r>
      <w:r w:rsidR="002C286E">
        <w:t>involved</w:t>
      </w:r>
      <w:r w:rsidRPr="00413FEF">
        <w:t>, call</w:t>
      </w:r>
      <w:r w:rsidR="00F57A55" w:rsidRPr="00413FEF">
        <w:t>ed</w:t>
      </w:r>
      <w:r w:rsidRPr="00413FEF">
        <w:t xml:space="preserve"> for the </w:t>
      </w:r>
      <w:r w:rsidR="00F57A55" w:rsidRPr="00413FEF">
        <w:t>riskier a</w:t>
      </w:r>
      <w:r w:rsidRPr="00413FEF">
        <w:t xml:space="preserve">ttitude of trust rather than mere informed reliance. And yet, trust in experts poses its own normative challenges which can translate into lack of trust or increased distrust. There are, however, good and bad reasons for distrust of experts. In what follows, we address and dismiss some of the more spurious reasons for the distrust of experts before discussing some legitimate social and ethical concerns that lead to </w:t>
      </w:r>
      <w:r w:rsidR="00F576BC" w:rsidRPr="00413FEF">
        <w:t>such</w:t>
      </w:r>
      <w:r w:rsidRPr="00413FEF">
        <w:t xml:space="preserve"> distrus</w:t>
      </w:r>
      <w:r w:rsidR="00F576BC" w:rsidRPr="00413FEF">
        <w:t>t</w:t>
      </w:r>
      <w:r w:rsidRPr="00413FEF">
        <w:t xml:space="preserve">. </w:t>
      </w:r>
    </w:p>
    <w:p w14:paraId="0B6C6C1C" w14:textId="0EE07EFC" w:rsidR="006A1884" w:rsidRPr="008E0904" w:rsidRDefault="006A1884" w:rsidP="004756F6">
      <w:pPr>
        <w:pStyle w:val="ListParagraph"/>
        <w:numPr>
          <w:ilvl w:val="0"/>
          <w:numId w:val="2"/>
        </w:numPr>
        <w:spacing w:after="240" w:line="360" w:lineRule="auto"/>
        <w:rPr>
          <w:rFonts w:ascii="Times New Roman" w:hAnsi="Times New Roman" w:cs="Times New Roman"/>
        </w:rPr>
      </w:pPr>
      <w:r w:rsidRPr="00413FEF">
        <w:rPr>
          <w:rFonts w:ascii="Times New Roman" w:hAnsi="Times New Roman" w:cs="Times New Roman"/>
        </w:rPr>
        <w:t xml:space="preserve">Loss of </w:t>
      </w:r>
      <w:r w:rsidRPr="00413FEF">
        <w:rPr>
          <w:rFonts w:ascii="Times New Roman" w:hAnsi="Times New Roman" w:cs="Times New Roman"/>
          <w:lang w:val="en-GB"/>
        </w:rPr>
        <w:t>Epistemic Autonomy</w:t>
      </w:r>
    </w:p>
    <w:p w14:paraId="21460A9A" w14:textId="18C249E6" w:rsidR="006A1884" w:rsidRPr="00413FEF" w:rsidRDefault="006A1884" w:rsidP="004756F6">
      <w:pPr>
        <w:spacing w:line="360" w:lineRule="auto"/>
        <w:ind w:firstLine="720"/>
      </w:pPr>
      <w:r w:rsidRPr="00413FEF">
        <w:t xml:space="preserve">The </w:t>
      </w:r>
      <w:r w:rsidR="0065145D" w:rsidRPr="00413FEF">
        <w:t xml:space="preserve">unavoidable </w:t>
      </w:r>
      <w:r w:rsidRPr="00413FEF">
        <w:t>lack of knowledge</w:t>
      </w:r>
      <w:r w:rsidR="0065145D" w:rsidRPr="00413FEF">
        <w:t xml:space="preserve"> </w:t>
      </w:r>
      <w:r w:rsidR="00056E3D" w:rsidRPr="00413FEF">
        <w:t>in specific domains</w:t>
      </w:r>
      <w:r w:rsidRPr="00413FEF">
        <w:t xml:space="preserve"> in the general public makes it necessary to acquire it from experts in a number of situations. But this necessity seems to threaten a key principle of post-Enlightenment Western morality, and the key principle of Kantian ethics, namely autonomy. Applied to knowledge, this leads to epistemological individualism, or </w:t>
      </w:r>
      <w:r w:rsidR="001A6F0B">
        <w:t>“</w:t>
      </w:r>
      <w:r w:rsidRPr="00413FEF">
        <w:t>think for yourself</w:t>
      </w:r>
      <w:r w:rsidR="001A6F0B">
        <w:t>.”</w:t>
      </w:r>
      <w:r w:rsidRPr="00413FEF">
        <w:t xml:space="preserve"> However, as </w:t>
      </w:r>
      <w:r w:rsidRPr="00C76FB3">
        <w:fldChar w:fldCharType="begin"/>
      </w:r>
      <w:r w:rsidRPr="00413FEF">
        <w:instrText xml:space="preserve"> ADDIN ZOTERO_ITEM CSL_CITATION {"citationID":"P7RyBUMd","properties":{"formattedCitation":"(Hardwig, 1985)","plainCitation":"(Hardwig, 1985)","dontUpdate":true,"noteIndex":0},"citationItems":[{"id":352,"uris":["http://zotero.org/users/local/5grjdT5j/items/2PP8ZCFZ"],"uri":["http://zotero.org/users/local/5grjdT5j/items/2PP8ZCFZ"],"itemData":{"id":352,"type":"article-journal","container-title":"Journal of Philosophy","DOI":"jphil198582747","issue":"7","note":"publisher: Journal of Philosophy Inc","page":"335–349","source":"PhilPapers","title":"Epistemic Dependence","volume":"82","author":[{"family":"Hardwig","given":"John"}],"issued":{"date-parts":[["1985"]]}}}],"schema":"https://github.com/citation-style-language/schema/raw/master/csl-citation.json"} </w:instrText>
      </w:r>
      <w:r w:rsidRPr="00C76FB3">
        <w:fldChar w:fldCharType="separate"/>
      </w:r>
      <w:r w:rsidRPr="00413FEF">
        <w:t xml:space="preserve">Koskinen </w:t>
      </w:r>
      <w:r w:rsidR="0065145D" w:rsidRPr="00413FEF">
        <w:t>(</w:t>
      </w:r>
      <w:r w:rsidRPr="00413FEF">
        <w:t>2020)</w:t>
      </w:r>
      <w:r w:rsidRPr="00C76FB3">
        <w:fldChar w:fldCharType="end"/>
      </w:r>
      <w:r w:rsidRPr="00413FEF">
        <w:t xml:space="preserve"> points out, scientific practices requires that experts, too, trust other experts in their knowledge acquisition. In an age of hyper-specialization, as Elijah </w:t>
      </w:r>
      <w:proofErr w:type="spellStart"/>
      <w:r w:rsidRPr="00413FEF">
        <w:t>Millgram</w:t>
      </w:r>
      <w:proofErr w:type="spellEnd"/>
      <w:r w:rsidRPr="00413FEF">
        <w:t xml:space="preserve"> (2015) argues, the ideal of complete intellectual autonomy is even more distant. Epistemic dependence, and the consequent threat to autonomy, are not only a problem for the </w:t>
      </w:r>
      <w:r w:rsidR="001A6F0B">
        <w:t>“</w:t>
      </w:r>
      <w:r w:rsidRPr="00413FEF">
        <w:t>general public</w:t>
      </w:r>
      <w:r w:rsidR="001A6F0B">
        <w:t>.”</w:t>
      </w:r>
      <w:r w:rsidRPr="00413FEF">
        <w:t xml:space="preserve"> Such a position is unavoidable, and the alternative appears much worse, bringing about, as Hardwig (1985</w:t>
      </w:r>
      <w:r w:rsidR="001A6F0B">
        <w:t>, p. 343</w:t>
      </w:r>
      <w:r w:rsidRPr="00413FEF">
        <w:t xml:space="preserve">) puts it, </w:t>
      </w:r>
      <w:r w:rsidR="001A6F0B">
        <w:t>“</w:t>
      </w:r>
      <w:r w:rsidRPr="00413FEF">
        <w:t>a situation in which he must either suspend belief or—if this is impossible or undesirable—arrive at belief on some admittedly nonrational basis</w:t>
      </w:r>
      <w:r w:rsidR="001A6F0B">
        <w:t>.”</w:t>
      </w:r>
      <w:r w:rsidRPr="00413FEF">
        <w:t xml:space="preserve"> </w:t>
      </w:r>
    </w:p>
    <w:p w14:paraId="17117231" w14:textId="52E915BE" w:rsidR="006A1884" w:rsidRPr="00413FEF" w:rsidRDefault="006A1884" w:rsidP="004756F6">
      <w:pPr>
        <w:spacing w:line="360" w:lineRule="auto"/>
        <w:ind w:firstLine="720"/>
      </w:pPr>
      <w:r w:rsidRPr="00C76FB3">
        <w:t xml:space="preserve">Rather than abandoning autonomy, this seems to point to a flawed conception of autonomy, one that, incidentally, is also influenced by social structures and status. </w:t>
      </w:r>
      <w:r w:rsidRPr="00C76FB3">
        <w:fldChar w:fldCharType="begin"/>
      </w:r>
      <w:r w:rsidRPr="00C76FB3">
        <w:instrText xml:space="preserve"> ADDIN ZOTERO_ITEM CSL_CITATION {"citationID":"LbouEJHe","properties":{"formattedCitation":"(Grasswick, 2014)","plainCitation":"(Grasswick, 2014)","dontUpdate":true,"noteIndex":0},"citationItems":[{"id":221,"uris":["http://zotero.org/users/local/5grjdT5j/items/A6ZXX7DJ"],"uri":["http://zotero.org/users/local/5grjdT5j/items/A6ZXX7DJ"],"itemData":{"id":221,"type":"article-journal","container-title":"Hypatia","DOI":"10.1111/hypa.12090","issue":"3","page":"541–557","source":"PhilPapers","title":"Climate Change Science and Responsible Trust: A Situated Approach","title-short":"Climate Change Science and Responsible Trust","volume":"29","author":[{"family":"Grasswick","given":"Heidi"}],"issued":{"date-parts":[["2014"]]}}}],"schema":"https://github.com/citation-style-language/schema/raw/master/csl-citation.json"} </w:instrText>
      </w:r>
      <w:r w:rsidRPr="00C76FB3">
        <w:fldChar w:fldCharType="separate"/>
      </w:r>
      <w:r w:rsidRPr="00C76FB3">
        <w:t>Grasswick (2014)</w:t>
      </w:r>
      <w:r w:rsidRPr="00C76FB3">
        <w:fldChar w:fldCharType="end"/>
      </w:r>
      <w:r w:rsidRPr="00C76FB3">
        <w:t xml:space="preserve"> offers evidence of this in her study on trust and climate change. Drawing on feminist epistemology’s situated approach,</w:t>
      </w:r>
      <w:r w:rsidR="00056E3D" w:rsidRPr="00C76FB3">
        <w:t xml:space="preserve"> she </w:t>
      </w:r>
      <w:r w:rsidRPr="00C76FB3">
        <w:t>shows how</w:t>
      </w:r>
      <w:r w:rsidRPr="00413FEF">
        <w:t xml:space="preserve"> trust in institutions of climate change science also depends on the relative privilege of the trustor. Grasswick concludes that greater privilege equals diminished trust, with the case of white males being more likely to distrust </w:t>
      </w:r>
      <w:r w:rsidRPr="00413FEF">
        <w:lastRenderedPageBreak/>
        <w:t>expert information about climate change. Individuals f</w:t>
      </w:r>
      <w:r w:rsidR="00F576BC" w:rsidRPr="00413FEF">
        <w:t>rom</w:t>
      </w:r>
      <w:r w:rsidRPr="00413FEF">
        <w:t xml:space="preserve"> privileged backgrounds appear more confident in their own </w:t>
      </w:r>
      <w:r w:rsidR="00CE2E37">
        <w:t>“</w:t>
      </w:r>
      <w:r w:rsidRPr="00413FEF">
        <w:t>autonomy</w:t>
      </w:r>
      <w:r w:rsidR="00CE2E37">
        <w:t>”</w:t>
      </w:r>
      <w:r w:rsidRPr="00413FEF">
        <w:t xml:space="preserve"> and less likely to rely on expert information even when there are good reasons to do so.</w:t>
      </w:r>
    </w:p>
    <w:p w14:paraId="345E82A3" w14:textId="56FC5C98" w:rsidR="006A1884" w:rsidRPr="00413FEF" w:rsidRDefault="006A1884" w:rsidP="004756F6">
      <w:pPr>
        <w:spacing w:after="240" w:line="360" w:lineRule="auto"/>
        <w:ind w:firstLine="720"/>
      </w:pPr>
      <w:r w:rsidRPr="00413FEF">
        <w:t>There are rational</w:t>
      </w:r>
      <w:r w:rsidR="009E4B4C">
        <w:t>—</w:t>
      </w:r>
      <w:r w:rsidRPr="00413FEF">
        <w:t>and Kantian</w:t>
      </w:r>
      <w:r w:rsidR="009E4B4C">
        <w:t>—</w:t>
      </w:r>
      <w:r w:rsidRPr="00413FEF">
        <w:t xml:space="preserve">reasons to subscribe to a modified conception of autonomy that makes room for trust. As Onora O’Neill argues, autonomy does not need to extend to personal whim (as in J.S. Mill’s model) but </w:t>
      </w:r>
      <w:r w:rsidR="0079442A" w:rsidRPr="00413FEF">
        <w:t xml:space="preserve">can </w:t>
      </w:r>
      <w:r w:rsidRPr="00413FEF">
        <w:t>be guided by practical reasons (</w:t>
      </w:r>
      <w:r w:rsidR="0065145D" w:rsidRPr="00413FEF">
        <w:t xml:space="preserve">as in </w:t>
      </w:r>
      <w:r w:rsidRPr="00413FEF">
        <w:t xml:space="preserve">Kant’s model). Writing in the context of bioethics, where autonomy is considered to be one of four ethical </w:t>
      </w:r>
      <w:r w:rsidR="009E4B4C">
        <w:t>“</w:t>
      </w:r>
      <w:r w:rsidRPr="00413FEF">
        <w:t>pillars</w:t>
      </w:r>
      <w:r w:rsidR="009E4B4C">
        <w:t>,”</w:t>
      </w:r>
      <w:r w:rsidRPr="00413FEF">
        <w:t xml:space="preserve"> O’Neill shows how Kantian autonomy can in fact be the basis for fostering trustworthiness.</w:t>
      </w:r>
      <w:r w:rsidR="00A26418">
        <w:rPr>
          <w:rStyle w:val="FootnoteReference"/>
        </w:rPr>
        <w:footnoteReference w:id="10"/>
      </w:r>
      <w:r w:rsidRPr="00413FEF">
        <w:t xml:space="preserve"> Following O’Neill’s strategy of distinguishing types of autonomy, </w:t>
      </w:r>
      <w:r w:rsidRPr="00C76FB3">
        <w:fldChar w:fldCharType="begin"/>
      </w:r>
      <w:r w:rsidRPr="00413FEF">
        <w:instrText xml:space="preserve"> ADDIN ZOTERO_ITEM CSL_CITATION {"citationID":"xKHC246v","properties":{"formattedCitation":"(Nguyen, 2018)","plainCitation":"(Nguyen, 2018)","dontUpdate":true,"noteIndex":0},"citationItems":[{"id":328,"uris":["http://zotero.org/users/local/5grjdT5j/items/ARI4CS2N"],"uri":["http://zotero.org/users/local/5grjdT5j/items/ARI4CS2N"],"itemData":{"id":328,"type":"article-journal","container-title":"Philosophical Inquiries","issue":"2","page":"107–124","source":"PhilPapers","title":"Expertise and the Fragmentation of Intellectual Autonomy","volume":"6","author":[{"family":"Nguyen","given":"C. Thi"}],"issued":{"date-parts":[["2018"]]}}}],"schema":"https://github.com/citation-style-language/schema/raw/master/csl-citation.json"} </w:instrText>
      </w:r>
      <w:r w:rsidRPr="00C76FB3">
        <w:fldChar w:fldCharType="separate"/>
      </w:r>
      <w:r w:rsidRPr="00413FEF">
        <w:t>Nguyen (2018)</w:t>
      </w:r>
      <w:r w:rsidRPr="00C76FB3">
        <w:fldChar w:fldCharType="end"/>
      </w:r>
      <w:r w:rsidRPr="00413FEF">
        <w:t xml:space="preserve"> argues (against </w:t>
      </w:r>
      <w:proofErr w:type="spellStart"/>
      <w:r w:rsidRPr="00413FEF">
        <w:t>Millgram’s</w:t>
      </w:r>
      <w:proofErr w:type="spellEnd"/>
      <w:r w:rsidRPr="00413FEF">
        <w:t xml:space="preserve"> more pessimistic view) that we can preserve autonomy in trust. The kind of intellectual autonomy that is threatened by trust in experts, according to Nguyen, is the more common type, </w:t>
      </w:r>
      <w:r w:rsidRPr="00413FEF">
        <w:rPr>
          <w:i/>
          <w:iCs/>
        </w:rPr>
        <w:t>direct autonomy</w:t>
      </w:r>
      <w:r w:rsidRPr="00413FEF">
        <w:t xml:space="preserve">, where we seek to understand the information and process by ourselves. This is the kind of autonomy that requires transparency. However, there are two other kinds of autonomy, which are consistent with trust but not with transparency: </w:t>
      </w:r>
      <w:r w:rsidRPr="00413FEF">
        <w:rPr>
          <w:i/>
          <w:iCs/>
        </w:rPr>
        <w:t xml:space="preserve">delegational autonomy </w:t>
      </w:r>
      <w:r w:rsidRPr="00413FEF">
        <w:t>and</w:t>
      </w:r>
      <w:r w:rsidRPr="00413FEF">
        <w:rPr>
          <w:i/>
          <w:iCs/>
        </w:rPr>
        <w:t xml:space="preserve"> management autonomy</w:t>
      </w:r>
      <w:r w:rsidRPr="00413FEF">
        <w:t>. In the former, we trust others to provide information we cannot arrive at ourselves, but remain autonomous insofar as our act of trust is active</w:t>
      </w:r>
      <w:r w:rsidR="009E4B4C">
        <w:t xml:space="preserve"> and</w:t>
      </w:r>
      <w:r w:rsidRPr="00413FEF">
        <w:t xml:space="preserve"> justified</w:t>
      </w:r>
      <w:r w:rsidR="009E4B4C">
        <w:t>—</w:t>
      </w:r>
      <w:r w:rsidRPr="00413FEF">
        <w:t>we take responsibility for it, and for our choice to delegate; in the latter, we put together, for ourselves, information from different sources and take responsibility for the whole</w:t>
      </w:r>
      <w:r w:rsidR="009E4B4C">
        <w:t>—</w:t>
      </w:r>
      <w:r w:rsidRPr="00413FEF">
        <w:t>the larger system of knowledge.</w:t>
      </w:r>
    </w:p>
    <w:p w14:paraId="672DB4BE" w14:textId="0F4BB44B" w:rsidR="006A1884" w:rsidRPr="009E4B4C" w:rsidRDefault="006A1884" w:rsidP="004756F6">
      <w:pPr>
        <w:pStyle w:val="ListParagraph"/>
        <w:numPr>
          <w:ilvl w:val="0"/>
          <w:numId w:val="2"/>
        </w:numPr>
        <w:spacing w:after="240" w:line="360" w:lineRule="auto"/>
        <w:rPr>
          <w:rFonts w:ascii="Times New Roman" w:hAnsi="Times New Roman" w:cs="Times New Roman"/>
          <w:lang w:val="en-GB"/>
        </w:rPr>
      </w:pPr>
      <w:r w:rsidRPr="00413FEF">
        <w:rPr>
          <w:rFonts w:ascii="Times New Roman" w:hAnsi="Times New Roman" w:cs="Times New Roman"/>
          <w:lang w:val="en-GB"/>
        </w:rPr>
        <w:t>The Democratic Deficit of Reliance on Experts</w:t>
      </w:r>
    </w:p>
    <w:p w14:paraId="5F7BDC8D" w14:textId="0502F192" w:rsidR="006A1884" w:rsidRPr="00413FEF" w:rsidRDefault="006A1884" w:rsidP="00C76FB3">
      <w:pPr>
        <w:spacing w:line="360" w:lineRule="auto"/>
        <w:ind w:firstLine="720"/>
        <w:rPr>
          <w:i/>
          <w:iCs/>
          <w:lang w:val="en-GB"/>
        </w:rPr>
      </w:pPr>
      <w:r w:rsidRPr="00413FEF">
        <w:t>The loss of private epistemic autonomy also has a public counterpart.  </w:t>
      </w:r>
      <w:r w:rsidRPr="00413FEF">
        <w:rPr>
          <w:i/>
          <w:iCs/>
          <w:lang w:val="en-GB"/>
        </w:rPr>
        <w:t xml:space="preserve">As we have seen in </w:t>
      </w:r>
      <w:r w:rsidR="00B14900">
        <w:rPr>
          <w:i/>
          <w:iCs/>
          <w:lang w:val="en-GB"/>
        </w:rPr>
        <w:t>S</w:t>
      </w:r>
      <w:r w:rsidRPr="00413FEF">
        <w:rPr>
          <w:i/>
          <w:iCs/>
          <w:lang w:val="en-GB"/>
        </w:rPr>
        <w:t xml:space="preserve">ection 1, </w:t>
      </w:r>
      <w:r w:rsidRPr="00413FEF">
        <w:rPr>
          <w:lang w:val="en-GB"/>
        </w:rPr>
        <w:t xml:space="preserve">experts’ involvement in policy advice has become a constant feature of modern governance. For a time, </w:t>
      </w:r>
      <w:r w:rsidRPr="00413FEF">
        <w:rPr>
          <w:i/>
          <w:iCs/>
          <w:lang w:val="en-GB"/>
        </w:rPr>
        <w:t>epistocracies</w:t>
      </w:r>
      <w:r w:rsidRPr="00413FEF">
        <w:rPr>
          <w:lang w:val="en-GB"/>
        </w:rPr>
        <w:t xml:space="preserve"> were </w:t>
      </w:r>
      <w:r w:rsidR="00B14900">
        <w:rPr>
          <w:lang w:val="en-GB"/>
        </w:rPr>
        <w:t xml:space="preserve">regarded </w:t>
      </w:r>
      <w:r w:rsidRPr="00413FEF">
        <w:rPr>
          <w:lang w:val="en-GB"/>
        </w:rPr>
        <w:t>as harbingers of a new</w:t>
      </w:r>
      <w:r w:rsidR="00B14900">
        <w:rPr>
          <w:lang w:val="en-GB"/>
        </w:rPr>
        <w:t xml:space="preserve"> political</w:t>
      </w:r>
      <w:r w:rsidRPr="00413FEF">
        <w:rPr>
          <w:lang w:val="en-GB"/>
        </w:rPr>
        <w:t xml:space="preserve"> era, </w:t>
      </w:r>
      <w:r w:rsidR="00B14900">
        <w:rPr>
          <w:lang w:val="en-GB"/>
        </w:rPr>
        <w:t xml:space="preserve">in which </w:t>
      </w:r>
      <w:r w:rsidRPr="00413FEF">
        <w:rPr>
          <w:lang w:val="en-GB"/>
        </w:rPr>
        <w:t xml:space="preserve">ideologies would give </w:t>
      </w:r>
      <w:r w:rsidR="00B14900">
        <w:rPr>
          <w:lang w:val="en-GB"/>
        </w:rPr>
        <w:t>way</w:t>
      </w:r>
      <w:r w:rsidR="00B14900" w:rsidRPr="00413FEF">
        <w:rPr>
          <w:lang w:val="en-GB"/>
        </w:rPr>
        <w:t xml:space="preserve"> </w:t>
      </w:r>
      <w:r w:rsidRPr="00413FEF">
        <w:rPr>
          <w:lang w:val="en-GB"/>
        </w:rPr>
        <w:t>to technical problem</w:t>
      </w:r>
      <w:r w:rsidR="00B14900">
        <w:rPr>
          <w:lang w:val="en-GB"/>
        </w:rPr>
        <w:t>-</w:t>
      </w:r>
      <w:r w:rsidRPr="00413FEF">
        <w:rPr>
          <w:lang w:val="en-GB"/>
        </w:rPr>
        <w:t>solving and expert-driven, problem-oriented thinking would replace both capitalist and socialist states (e.g.</w:t>
      </w:r>
      <w:r w:rsidR="00B14900">
        <w:rPr>
          <w:lang w:val="en-GB"/>
        </w:rPr>
        <w:t>,</w:t>
      </w:r>
      <w:r w:rsidRPr="00413FEF">
        <w:rPr>
          <w:lang w:val="en-GB"/>
        </w:rPr>
        <w:t xml:space="preserve"> Price</w:t>
      </w:r>
      <w:r w:rsidR="00B14900">
        <w:rPr>
          <w:lang w:val="en-GB"/>
        </w:rPr>
        <w:t>,</w:t>
      </w:r>
      <w:r w:rsidRPr="00413FEF">
        <w:rPr>
          <w:lang w:val="en-GB"/>
        </w:rPr>
        <w:t xml:space="preserve"> 1965). While these high hopes proved ill</w:t>
      </w:r>
      <w:r w:rsidR="004E61D2">
        <w:rPr>
          <w:lang w:val="en-GB"/>
        </w:rPr>
        <w:t>-</w:t>
      </w:r>
      <w:r w:rsidRPr="00413FEF">
        <w:rPr>
          <w:lang w:val="en-GB"/>
        </w:rPr>
        <w:t>founded, reliance on experts in policy decisions in a wide range of areas, from economics to health, from technological know-how to agriculture, remains central to contemporary governance. The so-called “knowledge economies”</w:t>
      </w:r>
      <w:r w:rsidR="004E61D2">
        <w:rPr>
          <w:lang w:val="en-GB"/>
        </w:rPr>
        <w:t>—</w:t>
      </w:r>
      <w:r w:rsidRPr="00413FEF">
        <w:rPr>
          <w:lang w:val="en-GB"/>
        </w:rPr>
        <w:t>where intellectual capital is a key source of economic growth</w:t>
      </w:r>
      <w:r w:rsidR="004E61D2">
        <w:rPr>
          <w:lang w:val="en-GB"/>
        </w:rPr>
        <w:t>—</w:t>
      </w:r>
      <w:r w:rsidRPr="00413FEF">
        <w:rPr>
          <w:lang w:val="en-GB"/>
        </w:rPr>
        <w:t xml:space="preserve">accentuates this reliance. </w:t>
      </w:r>
    </w:p>
    <w:p w14:paraId="2DC8ECE8" w14:textId="264AEAAF" w:rsidR="006A1884" w:rsidRPr="00413FEF" w:rsidRDefault="006A1884" w:rsidP="00C76FB3">
      <w:pPr>
        <w:spacing w:line="360" w:lineRule="auto"/>
        <w:ind w:firstLine="720"/>
        <w:rPr>
          <w:lang w:val="en-GB"/>
        </w:rPr>
      </w:pPr>
      <w:r w:rsidRPr="00413FEF">
        <w:rPr>
          <w:lang w:val="en-GB"/>
        </w:rPr>
        <w:lastRenderedPageBreak/>
        <w:t>There are two interconnected concerns specifically about the role of experts in democratic governance: first, expert knowledge may not be readily open to assessment by non-experts</w:t>
      </w:r>
      <w:r w:rsidR="004E61D2">
        <w:rPr>
          <w:lang w:val="en-GB"/>
        </w:rPr>
        <w:t>,</w:t>
      </w:r>
      <w:r w:rsidRPr="00413FEF">
        <w:rPr>
          <w:lang w:val="en-GB"/>
        </w:rPr>
        <w:t xml:space="preserve"> and therefore</w:t>
      </w:r>
      <w:r w:rsidR="004E61D2">
        <w:rPr>
          <w:lang w:val="en-GB"/>
        </w:rPr>
        <w:t>,</w:t>
      </w:r>
      <w:r w:rsidRPr="00413FEF">
        <w:rPr>
          <w:lang w:val="en-GB"/>
        </w:rPr>
        <w:t xml:space="preserve"> the very idea of expertise is premised on epistemic inequality which </w:t>
      </w:r>
      <w:r w:rsidR="005D07EC" w:rsidRPr="00413FEF">
        <w:rPr>
          <w:lang w:val="en-GB"/>
        </w:rPr>
        <w:t>has</w:t>
      </w:r>
      <w:r w:rsidRPr="00413FEF">
        <w:rPr>
          <w:lang w:val="en-GB"/>
        </w:rPr>
        <w:t xml:space="preserve"> social and political consequences. Second, experts, when they function as unelected contributors to political governance, are immune from the type of accountability we impose on elected members of governments. Experts, by definition, know more than the general public about their area of expertise, and particularly in knowledge economies those with greater epistemic resources and access to such resources frequently</w:t>
      </w:r>
      <w:r w:rsidR="004E61D2">
        <w:rPr>
          <w:lang w:val="en-GB"/>
        </w:rPr>
        <w:t>—</w:t>
      </w:r>
      <w:r w:rsidRPr="00413FEF">
        <w:rPr>
          <w:lang w:val="en-GB"/>
        </w:rPr>
        <w:t>but by no means invariably</w:t>
      </w:r>
      <w:r w:rsidR="004E61D2">
        <w:rPr>
          <w:lang w:val="en-GB"/>
        </w:rPr>
        <w:t>—</w:t>
      </w:r>
      <w:r w:rsidRPr="00413FEF">
        <w:rPr>
          <w:lang w:val="en-GB"/>
        </w:rPr>
        <w:t>are rewarded financially and accrue prestige and status</w:t>
      </w:r>
      <w:r w:rsidR="005D07EC" w:rsidRPr="00413FEF">
        <w:rPr>
          <w:lang w:val="en-GB"/>
        </w:rPr>
        <w:t xml:space="preserve">, becoming the new elites. </w:t>
      </w:r>
      <w:r w:rsidRPr="00413FEF">
        <w:rPr>
          <w:lang w:val="en-GB"/>
        </w:rPr>
        <w:t>The top-down reliance on a small group of experts on policy decisions leaves less space for the participation of citizenry in political decision making.</w:t>
      </w:r>
      <w:r w:rsidR="00B02CA0" w:rsidRPr="00413FEF">
        <w:rPr>
          <w:lang w:val="en-GB"/>
        </w:rPr>
        <w:t xml:space="preserve"> Status inequality, Hugh Desmond (2022)</w:t>
      </w:r>
      <w:r w:rsidRPr="00413FEF">
        <w:rPr>
          <w:lang w:val="en-GB"/>
        </w:rPr>
        <w:t xml:space="preserve"> </w:t>
      </w:r>
      <w:r w:rsidR="00B02CA0" w:rsidRPr="00413FEF">
        <w:rPr>
          <w:lang w:val="en-GB"/>
        </w:rPr>
        <w:t>has argued, can be a greater reason for distrust than other epistemic or moral reasons.</w:t>
      </w:r>
    </w:p>
    <w:p w14:paraId="10355866" w14:textId="399C1942" w:rsidR="006A1884" w:rsidRPr="004756F6" w:rsidRDefault="006A1884" w:rsidP="00176887">
      <w:pPr>
        <w:spacing w:line="360" w:lineRule="auto"/>
        <w:ind w:firstLine="720"/>
        <w:rPr>
          <w:lang w:val="en-US"/>
        </w:rPr>
      </w:pPr>
      <w:r w:rsidRPr="00413FEF">
        <w:rPr>
          <w:lang w:val="en-GB"/>
        </w:rPr>
        <w:t>This gives rise to democratic deficit of trust in experts: if policy decisions are to be taken based on advice from experts, and if the correct epistemic position toward experts is one of trust rather than critical questioning, then the space available not just for political contestation but also for political decision making will shrink in proportion to the extent that we allow expert-driven trust-based policies to become the guiding principle of political governance. These worries offer grounds for scepticism</w:t>
      </w:r>
      <w:r w:rsidR="002670CD">
        <w:rPr>
          <w:lang w:val="en-GB"/>
        </w:rPr>
        <w:t>—</w:t>
      </w:r>
      <w:r w:rsidRPr="00413FEF">
        <w:rPr>
          <w:lang w:val="en-GB"/>
        </w:rPr>
        <w:t>and indeed distrust</w:t>
      </w:r>
      <w:r w:rsidR="002670CD">
        <w:rPr>
          <w:lang w:val="en-GB"/>
        </w:rPr>
        <w:t>—</w:t>
      </w:r>
      <w:r w:rsidRPr="00413FEF">
        <w:rPr>
          <w:lang w:val="en-GB"/>
        </w:rPr>
        <w:t>of experts, not primarily because the content and sources of their advice, but because of the impact of their involvement in political decision</w:t>
      </w:r>
      <w:r w:rsidR="002670CD">
        <w:rPr>
          <w:lang w:val="en-GB"/>
        </w:rPr>
        <w:t>-</w:t>
      </w:r>
      <w:r w:rsidRPr="00413FEF">
        <w:rPr>
          <w:lang w:val="en-GB"/>
        </w:rPr>
        <w:t>making. Yet</w:t>
      </w:r>
      <w:r w:rsidR="002670CD">
        <w:rPr>
          <w:lang w:val="en-GB"/>
        </w:rPr>
        <w:t>,</w:t>
      </w:r>
      <w:r w:rsidRPr="00413FEF">
        <w:rPr>
          <w:lang w:val="en-GB"/>
        </w:rPr>
        <w:t xml:space="preserve"> there is no easy distinction between these two reasons: in promoting trust in experts, the question of its </w:t>
      </w:r>
      <w:r w:rsidR="00EE2788" w:rsidRPr="00413FEF">
        <w:rPr>
          <w:lang w:val="en-GB"/>
        </w:rPr>
        <w:t>short- and long-term</w:t>
      </w:r>
      <w:r w:rsidRPr="00413FEF">
        <w:rPr>
          <w:lang w:val="en-GB"/>
        </w:rPr>
        <w:t xml:space="preserve"> impact is pertinent to our judgements of trust.</w:t>
      </w:r>
      <w:r w:rsidR="00A26418">
        <w:rPr>
          <w:rStyle w:val="FootnoteReference"/>
          <w:lang w:val="en-GB"/>
        </w:rPr>
        <w:footnoteReference w:id="11"/>
      </w:r>
      <w:r w:rsidRPr="00413FEF">
        <w:rPr>
          <w:lang w:val="en-GB"/>
        </w:rPr>
        <w:t xml:space="preserve">  </w:t>
      </w:r>
    </w:p>
    <w:p w14:paraId="1EC2FB87" w14:textId="665DE209" w:rsidR="006A1884" w:rsidRPr="00413FEF" w:rsidRDefault="006A1884" w:rsidP="00176887">
      <w:pPr>
        <w:spacing w:line="360" w:lineRule="auto"/>
        <w:rPr>
          <w:i/>
          <w:iCs/>
        </w:rPr>
      </w:pPr>
    </w:p>
    <w:p w14:paraId="630EAEBA" w14:textId="74CBFEB9" w:rsidR="006A1884" w:rsidRPr="00413FEF" w:rsidRDefault="006A1884" w:rsidP="00176887">
      <w:pPr>
        <w:spacing w:line="360" w:lineRule="auto"/>
        <w:rPr>
          <w:b/>
          <w:bCs/>
          <w:lang w:val="en-GB"/>
        </w:rPr>
      </w:pPr>
      <w:r w:rsidRPr="00413FEF">
        <w:rPr>
          <w:b/>
          <w:bCs/>
        </w:rPr>
        <w:t xml:space="preserve">VII. 1 Decreasing the </w:t>
      </w:r>
      <w:r w:rsidR="00324B83">
        <w:rPr>
          <w:b/>
          <w:bCs/>
        </w:rPr>
        <w:t>D</w:t>
      </w:r>
      <w:r w:rsidRPr="00413FEF">
        <w:rPr>
          <w:b/>
          <w:bCs/>
        </w:rPr>
        <w:t xml:space="preserve">emocratic </w:t>
      </w:r>
      <w:r w:rsidR="00324B83">
        <w:rPr>
          <w:b/>
          <w:bCs/>
        </w:rPr>
        <w:t>D</w:t>
      </w:r>
      <w:r w:rsidRPr="00413FEF">
        <w:rPr>
          <w:b/>
          <w:bCs/>
        </w:rPr>
        <w:t>eficit of Trust in Experts</w:t>
      </w:r>
    </w:p>
    <w:p w14:paraId="3CFDFB9B" w14:textId="77777777" w:rsidR="006A1884" w:rsidRPr="00413FEF" w:rsidRDefault="006A1884" w:rsidP="00176887">
      <w:pPr>
        <w:spacing w:line="360" w:lineRule="auto"/>
        <w:rPr>
          <w:lang w:val="en-GB"/>
        </w:rPr>
      </w:pPr>
    </w:p>
    <w:p w14:paraId="4552018B" w14:textId="52F4A900" w:rsidR="006A1884" w:rsidRPr="00413FEF" w:rsidRDefault="006A1884" w:rsidP="001E4009">
      <w:pPr>
        <w:spacing w:line="360" w:lineRule="auto"/>
        <w:ind w:firstLine="720"/>
        <w:rPr>
          <w:lang w:val="en-GB"/>
        </w:rPr>
      </w:pPr>
      <w:r w:rsidRPr="00413FEF">
        <w:rPr>
          <w:lang w:val="en-GB"/>
        </w:rPr>
        <w:t xml:space="preserve">There are, however, social tools at our disposal to address the issue. </w:t>
      </w:r>
      <w:r w:rsidRPr="00413FEF">
        <w:t xml:space="preserve">Citizen participation, at various levels of knowledge creation and transmission (or what Dewey calls </w:t>
      </w:r>
      <w:r w:rsidR="00324B83">
        <w:t>“</w:t>
      </w:r>
      <w:r w:rsidRPr="00413FEF">
        <w:t>popularization of knowledge</w:t>
      </w:r>
      <w:r w:rsidR="00324B83">
        <w:t>”</w:t>
      </w:r>
      <w:r w:rsidRPr="00413FEF">
        <w:t xml:space="preserve">), is a good example. The point is echoed by many </w:t>
      </w:r>
      <w:r w:rsidRPr="00413FEF">
        <w:lastRenderedPageBreak/>
        <w:t xml:space="preserve">contemporary thinkers. </w:t>
      </w:r>
      <w:r w:rsidRPr="00C76FB3">
        <w:fldChar w:fldCharType="begin"/>
      </w:r>
      <w:r w:rsidRPr="00413FEF">
        <w:instrText xml:space="preserve"> ADDIN ZOTERO_ITEM CSL_CITATION {"citationID":"hYsNrotq","properties":{"formattedCitation":"(Kitcher 2011)","plainCitation":"(Kitcher 2011)","noteIndex":0},"citationItems":[{"id":400,"uris":["http://zotero.org/users/local/5grjdT5j/items/PIGLNGKK"],"uri":["http://zotero.org/users/local/5grjdT5j/items/PIGLNGKK"],"itemData":{"id":400,"type":"book","abstract":"In this successor to his pioneering Science, Truth, and Democracy, the author revisits the topic explored in his previous work-namely, the challenges of integrating science, the most successful knowledge-generating system of all time, with the problems of democracy. But in this new work, the author goes far beyond that earlier book in studying places at which the practice of science fails to answer social needs. He considers a variety of examples of pressing concern, ranging from climate change to religiously inspired constraints on biomedical research to the neglect of diseases that kill millions of children annually, analyzing the sources of trouble. He shows the fallacies of thinking that democracy always requires public debate of issues most people cannot comprehend, and argues that properly constituted expertise is essential to genuine democracy. No previous book has treated the place of science in democratic society so comprehensively and systematically, with attention to different aspects of science and to pressing problems of our times.","event-place":"Amherst, N.Y","ISBN":"978-1-61614-407-4","language":"English","number-of-pages":"272","publisher":"Prometheus","publisher-place":"Amherst, N.Y","source":"Amazon","title":"Science in a Democratic Society","author":[{"family":"Kitcher","given":"Philip"}],"issued":{"date-parts":[["2011",8,23]]}}}],"schema":"https://github.com/citation-style-language/schema/raw/master/csl-citation.json"} </w:instrText>
      </w:r>
      <w:r w:rsidRPr="00C76FB3">
        <w:fldChar w:fldCharType="separate"/>
      </w:r>
      <w:r w:rsidRPr="00413FEF">
        <w:t>Philip Kitcher (2011)</w:t>
      </w:r>
      <w:r w:rsidRPr="00C76FB3">
        <w:fldChar w:fldCharType="end"/>
      </w:r>
      <w:r w:rsidRPr="00413FEF">
        <w:t>, for instance, argues that to counter value-based distrust</w:t>
      </w:r>
      <w:r w:rsidR="00324B83">
        <w:t>,</w:t>
      </w:r>
      <w:r w:rsidRPr="00413FEF">
        <w:t xml:space="preserve"> what is needed is a more inclusive participation of the public in the workings of scientific research from the very beginning, including, in particular, the facilitation of a more transparent and open discussion about the values that inform such research.</w:t>
      </w:r>
      <w:r w:rsidR="00A26418">
        <w:rPr>
          <w:rStyle w:val="FootnoteReference"/>
        </w:rPr>
        <w:footnoteReference w:id="12"/>
      </w:r>
    </w:p>
    <w:p w14:paraId="76120184" w14:textId="3279D233" w:rsidR="006A1884" w:rsidRPr="00413FEF" w:rsidRDefault="006A1884" w:rsidP="00176887">
      <w:pPr>
        <w:spacing w:line="360" w:lineRule="auto"/>
      </w:pPr>
      <w:r w:rsidRPr="00413FEF">
        <w:tab/>
        <w:t>An effective way of including the public in expert-informed policymaking is the routine use of citizen assemblies and mini fora (Farrell</w:t>
      </w:r>
      <w:r w:rsidR="00324B83">
        <w:t xml:space="preserve"> </w:t>
      </w:r>
      <w:r w:rsidRPr="00413FEF">
        <w:t xml:space="preserve">&amp; Suiter, 2019) where experts and representatives of the general public engage in publicly accessible conversations and deliberations about the policy choices available. Making intellectual space for the contestation of dominant views, </w:t>
      </w:r>
      <w:r w:rsidR="00324B83">
        <w:t xml:space="preserve">and </w:t>
      </w:r>
      <w:r w:rsidRPr="00413FEF">
        <w:t>monitoring the performance of experts and their commitment to honesty, transparency</w:t>
      </w:r>
      <w:r w:rsidR="00324B83">
        <w:t>,</w:t>
      </w:r>
      <w:r w:rsidRPr="00413FEF">
        <w:t xml:space="preserve"> and good will are further means of both creating a climate of trust and enabling a participatory form of democracy </w:t>
      </w:r>
      <w:r w:rsidR="00324B83">
        <w:t>in which</w:t>
      </w:r>
      <w:r w:rsidR="00324B83" w:rsidRPr="00413FEF">
        <w:t xml:space="preserve"> </w:t>
      </w:r>
      <w:r w:rsidRPr="00413FEF">
        <w:t>experts and policymakers are held a</w:t>
      </w:r>
      <w:r w:rsidR="00324B83">
        <w:t>ccountable</w:t>
      </w:r>
      <w:r w:rsidRPr="00413FEF">
        <w:t xml:space="preserve"> to the citizenry.</w:t>
      </w:r>
      <w:r w:rsidR="00A26418">
        <w:rPr>
          <w:rStyle w:val="FootnoteReference"/>
        </w:rPr>
        <w:footnoteReference w:id="13"/>
      </w:r>
      <w:r w:rsidRPr="00413FEF">
        <w:t xml:space="preserve"> </w:t>
      </w:r>
    </w:p>
    <w:p w14:paraId="771773E0" w14:textId="42F5FFA3" w:rsidR="006A1884" w:rsidRPr="00413FEF" w:rsidRDefault="006A1884" w:rsidP="004756F6">
      <w:pPr>
        <w:spacing w:after="240" w:line="360" w:lineRule="auto"/>
      </w:pPr>
      <w:r w:rsidRPr="00413FEF">
        <w:tab/>
        <w:t xml:space="preserve">A division of epistemic </w:t>
      </w:r>
      <w:proofErr w:type="spellStart"/>
      <w:r w:rsidRPr="00413FEF">
        <w:t>labor</w:t>
      </w:r>
      <w:proofErr w:type="spellEnd"/>
      <w:r w:rsidRPr="00413FEF">
        <w:t xml:space="preserve"> is essential for the smooth running of any society, but the division does not need to be purely hierarchical. A horizontal model, where multidisciplinary panels, including lay members of society share the responsibility for policy advice, is more in line with the egalitarian aspirations of democratic governance. Such </w:t>
      </w:r>
      <w:r w:rsidR="007F5515">
        <w:t>“</w:t>
      </w:r>
      <w:r w:rsidRPr="00413FEF">
        <w:t>horizontal</w:t>
      </w:r>
      <w:r w:rsidR="007F5515">
        <w:t>”</w:t>
      </w:r>
      <w:r w:rsidRPr="00413FEF">
        <w:t xml:space="preserve"> models do not deny the role and significance of specialists</w:t>
      </w:r>
      <w:r w:rsidR="007F5515">
        <w:t>’</w:t>
      </w:r>
      <w:r w:rsidRPr="00413FEF">
        <w:t xml:space="preserve"> knowledge in decision</w:t>
      </w:r>
      <w:r w:rsidR="007F5515">
        <w:t>-</w:t>
      </w:r>
      <w:r w:rsidRPr="00413FEF">
        <w:t>making, nor do they flatten the idea of expertise by placing their level of  knowledge and on par with the laypeople’s</w:t>
      </w:r>
      <w:r w:rsidR="00D17318" w:rsidRPr="00413FEF">
        <w:t>. Ra</w:t>
      </w:r>
      <w:r w:rsidRPr="00413FEF">
        <w:t>ther, they allow for input from and debate between a variety of sources and voices. The complaints about the elitism of experts, more often than not, are directed at the exorbitant financial rewards they receive, as well as the air of arrogance surrounding them, rather than the knowledge and information that they possess. The horizontal conception of the division of epistemic labour on expert panels can also have beneficial consequences for structuring the financial rewards that experts receive and thus address some of the grave economic inequalities that the knowledge economy has engendered. The horizontal model, put into action through citizens</w:t>
      </w:r>
      <w:r w:rsidR="007F5515">
        <w:t>’</w:t>
      </w:r>
      <w:r w:rsidRPr="00413FEF">
        <w:t xml:space="preserve"> assemblies</w:t>
      </w:r>
      <w:r w:rsidR="00D17318" w:rsidRPr="00413FEF">
        <w:t>,</w:t>
      </w:r>
      <w:r w:rsidRPr="00413FEF">
        <w:t xml:space="preserve"> is part of a move toward a more cooperative rather than hierarchical division of epistemic labour, which  also constitut</w:t>
      </w:r>
      <w:r w:rsidR="007F5515">
        <w:t>es</w:t>
      </w:r>
      <w:r w:rsidRPr="00413FEF">
        <w:t xml:space="preserve"> the reciprocal nature of the demands and commitments that are part of a </w:t>
      </w:r>
      <w:r w:rsidRPr="00413FEF">
        <w:lastRenderedPageBreak/>
        <w:t>climate of trust.</w:t>
      </w:r>
      <w:r w:rsidR="00EE2788" w:rsidRPr="00413FEF">
        <w:t xml:space="preserve"> Efforts to make the practice of epistemic humility</w:t>
      </w:r>
      <w:r w:rsidR="00E11ED5" w:rsidRPr="00413FEF">
        <w:t xml:space="preserve"> more commonplace among such experts can also be helpful.</w:t>
      </w:r>
      <w:r w:rsidR="00EE2788" w:rsidRPr="00413FEF">
        <w:t xml:space="preserve"> </w:t>
      </w:r>
    </w:p>
    <w:p w14:paraId="01F8421F" w14:textId="70EBE933" w:rsidR="006A1884" w:rsidRPr="007F5515" w:rsidRDefault="006A1884" w:rsidP="004756F6">
      <w:pPr>
        <w:pStyle w:val="ListParagraph"/>
        <w:numPr>
          <w:ilvl w:val="0"/>
          <w:numId w:val="2"/>
        </w:numPr>
        <w:spacing w:after="240" w:line="360" w:lineRule="auto"/>
        <w:rPr>
          <w:rFonts w:ascii="Times New Roman" w:hAnsi="Times New Roman" w:cs="Times New Roman"/>
          <w:lang w:val="en-GB"/>
        </w:rPr>
      </w:pPr>
      <w:r w:rsidRPr="00413FEF">
        <w:rPr>
          <w:rFonts w:ascii="Times New Roman" w:hAnsi="Times New Roman" w:cs="Times New Roman"/>
          <w:lang w:val="en-GB"/>
        </w:rPr>
        <w:t xml:space="preserve">Trust, </w:t>
      </w:r>
      <w:r w:rsidR="007F5515">
        <w:rPr>
          <w:rFonts w:ascii="Times New Roman" w:hAnsi="Times New Roman" w:cs="Times New Roman"/>
          <w:lang w:val="en-GB"/>
        </w:rPr>
        <w:t>D</w:t>
      </w:r>
      <w:r w:rsidRPr="00413FEF">
        <w:rPr>
          <w:rFonts w:ascii="Times New Roman" w:hAnsi="Times New Roman" w:cs="Times New Roman"/>
          <w:lang w:val="en-GB"/>
        </w:rPr>
        <w:t>istrust</w:t>
      </w:r>
      <w:r w:rsidR="007F5515">
        <w:rPr>
          <w:rFonts w:ascii="Times New Roman" w:hAnsi="Times New Roman" w:cs="Times New Roman"/>
          <w:lang w:val="en-GB"/>
        </w:rPr>
        <w:t>,</w:t>
      </w:r>
      <w:r w:rsidRPr="00413FEF">
        <w:rPr>
          <w:rFonts w:ascii="Times New Roman" w:hAnsi="Times New Roman" w:cs="Times New Roman"/>
          <w:lang w:val="en-GB"/>
        </w:rPr>
        <w:t xml:space="preserve"> and </w:t>
      </w:r>
      <w:r w:rsidR="007F5515">
        <w:rPr>
          <w:rFonts w:ascii="Times New Roman" w:hAnsi="Times New Roman" w:cs="Times New Roman"/>
          <w:lang w:val="en-GB"/>
        </w:rPr>
        <w:t>S</w:t>
      </w:r>
      <w:r w:rsidRPr="00413FEF">
        <w:rPr>
          <w:rFonts w:ascii="Times New Roman" w:hAnsi="Times New Roman" w:cs="Times New Roman"/>
          <w:lang w:val="en-GB"/>
        </w:rPr>
        <w:t xml:space="preserve">ocial </w:t>
      </w:r>
      <w:r w:rsidR="007F5515">
        <w:rPr>
          <w:rFonts w:ascii="Times New Roman" w:hAnsi="Times New Roman" w:cs="Times New Roman"/>
          <w:lang w:val="en-GB"/>
        </w:rPr>
        <w:t>I</w:t>
      </w:r>
      <w:r w:rsidRPr="00413FEF">
        <w:rPr>
          <w:rFonts w:ascii="Times New Roman" w:hAnsi="Times New Roman" w:cs="Times New Roman"/>
          <w:lang w:val="en-GB"/>
        </w:rPr>
        <w:t>dentity</w:t>
      </w:r>
    </w:p>
    <w:p w14:paraId="48D41BAC" w14:textId="21D34E79" w:rsidR="00CD45CD" w:rsidRPr="00413FEF" w:rsidRDefault="006A1884" w:rsidP="00C76FB3">
      <w:pPr>
        <w:spacing w:line="360" w:lineRule="auto"/>
        <w:ind w:firstLine="720"/>
      </w:pPr>
      <w:r w:rsidRPr="00413FEF">
        <w:t xml:space="preserve">The possibility of retaining autonomy in trusting experts does not remove the danger of not being able to do so, nor does it remove the inherent vulnerability and power structures of trust. This is why, as Jason </w:t>
      </w:r>
      <w:r w:rsidRPr="00C76FB3">
        <w:fldChar w:fldCharType="begin"/>
      </w:r>
      <w:r w:rsidRPr="00413FEF">
        <w:instrText xml:space="preserve"> ADDIN ZOTERO_ITEM CSL_CITATION {"citationID":"erZ0VAKw","properties":{"formattedCitation":"(D\\uc0\\u8217{}Cruz, 2019)","plainCitation":"(D’Cruz, 2019)","dontUpdate":true,"noteIndex":0},"citationItems":[{"id":292,"uris":["http://zotero.org/users/local/5grjdT5j/items/BRHG6YHJ"],"uri":["http://zotero.org/users/local/5grjdT5j/items/BRHG6YHJ"],"itemData":{"id":292,"type":"article-journal","container-title":"Philosophical Studies","DOI":"10.1007/s11098-018-1220-6","issue":"4","note":"publisher: Springer Verlag","page":"933–953","source":"PhilPapers","title":"Humble Trust","volume":"176","author":[{"family":"D’Cruz","given":"Jason"}],"issued":{"date-parts":[["2019"]]}}}],"schema":"https://github.com/citation-style-language/schema/raw/master/csl-citation.json"} </w:instrText>
      </w:r>
      <w:r w:rsidRPr="00C76FB3">
        <w:fldChar w:fldCharType="separate"/>
      </w:r>
      <w:r w:rsidRPr="00413FEF">
        <w:t>D’Cruz (2019)</w:t>
      </w:r>
      <w:r w:rsidRPr="00C76FB3">
        <w:fldChar w:fldCharType="end"/>
      </w:r>
      <w:r w:rsidRPr="00413FEF">
        <w:t xml:space="preserve"> has argued, both trust and distrust carry significant moral problems. The power relations underlying trust in experts are not only of an epistemological kind. Sometimes, experts are trusted not because of the power they acquire through greater knowledge, but for their political and social power. This is an instance of poorly justified trust. Conversely, oppressed groups which face discrimination in other contexts of life, also tend to face epistemic discrimination, or </w:t>
      </w:r>
      <w:r w:rsidR="00A75A01">
        <w:rPr>
          <w:lang w:val="en-US"/>
        </w:rPr>
        <w:t>“</w:t>
      </w:r>
      <w:r w:rsidRPr="00413FEF">
        <w:t>epistemic injustice</w:t>
      </w:r>
      <w:r w:rsidR="00A75A01">
        <w:t>”</w:t>
      </w:r>
      <w:r w:rsidRPr="00413FEF">
        <w:t xml:space="preserve"> (</w:t>
      </w:r>
      <w:r w:rsidRPr="00C76FB3">
        <w:fldChar w:fldCharType="begin"/>
      </w:r>
      <w:r w:rsidRPr="00413FEF">
        <w:instrText xml:space="preserve"> ADDIN ZOTERO_ITEM CSL_CITATION {"citationID":"v8T6wnqz","properties":{"formattedCitation":"(Fricker, 2009)","plainCitation":"(Fricker, 2009)","dontUpdate":true,"noteIndex":0},"citationItems":[{"id":358,"uris":["http://zotero.org/users/local/5grjdT5j/items/2IUJ9KZT"],"uri":["http://zotero.org/users/local/5grjdT5j/items/2IUJ9KZT"],"itemData":{"id":358,"type":"book","abstract":"In this exploration of new territory between ethics and epistemology, Miranda Fricker argues that there is a distinctively epistemic type of injustice, in which someone is wronged specifically in their capacity as a knower. Justice is one of the oldest and most central themes in philosophy, but in order to reveal the ethical dimension of our epistemic practices the focus must shift to injustice. Fricker adjusts the philosophical lens so that we see through to the negative space that is epistemic injustice. The book explores two different types of epistemic injustice, each driven by a form of prejudice, and from this exploration comes a positive account of two corrective ethical-intellectual virtues. The characterization of these phenomena casts light on many issues, such as social power, prejudice, virtue, and the genealogy of knowledge, and it proposes a virtue epistemological account of testimony. In this ground-breaking book, the entanglements of reason and social power are traced in a new way, to reveal the different forms of epistemic injustice and their place in the broad pattern of social injustice.","edition":"1st edition","event-place":"Oxford","ISBN":"978-0-19-957052-2","language":"English","number-of-pages":"208","publisher":"Oxford University Press","publisher-place":"Oxford","source":"Amazon","title":"Epistemic Injustice: Power and the Ethics of Knowing","title-short":"Epistemic Injustice","author":[{"family":"Fricker","given":"Miranda"}],"issued":{"date-parts":[["2009",9,28]]}}}],"schema":"https://github.com/citation-style-language/schema/raw/master/csl-citation.json"} </w:instrText>
      </w:r>
      <w:r w:rsidRPr="00C76FB3">
        <w:fldChar w:fldCharType="separate"/>
      </w:r>
      <w:r w:rsidRPr="00413FEF">
        <w:t>Fricker</w:t>
      </w:r>
      <w:r w:rsidR="00A75A01">
        <w:t>,</w:t>
      </w:r>
      <w:r w:rsidRPr="00413FEF">
        <w:t xml:space="preserve"> 2006)</w:t>
      </w:r>
      <w:r w:rsidRPr="00C76FB3">
        <w:fldChar w:fldCharType="end"/>
      </w:r>
      <w:r w:rsidRPr="00413FEF">
        <w:t xml:space="preserve">. This occurs when their testimony is treated as less relevant or competent for reasons that are not grounded in good epistemic practices, but </w:t>
      </w:r>
      <w:r w:rsidR="008A4745" w:rsidRPr="00413FEF">
        <w:t>in</w:t>
      </w:r>
      <w:r w:rsidRPr="00413FEF">
        <w:t xml:space="preserve"> social and political bias</w:t>
      </w:r>
      <w:r w:rsidR="008A4745" w:rsidRPr="00413FEF">
        <w:t xml:space="preserve"> and prejudice</w:t>
      </w:r>
      <w:r w:rsidRPr="00413FEF">
        <w:t xml:space="preserve">. This is an increasingly studied phenomenon in moral epistemology, especially feminist epistemology (see </w:t>
      </w:r>
      <w:r w:rsidRPr="00C76FB3">
        <w:fldChar w:fldCharType="begin"/>
      </w:r>
      <w:r w:rsidRPr="00413FEF">
        <w:instrText xml:space="preserve"> ADDIN ZOTERO_ITEM CSL_CITATION {"citationID":"PRZrfsFH","properties":{"formattedCitation":"(Code, 1991)","plainCitation":"(Code, 1991)","dontUpdate":true,"noteIndex":0},"citationItems":[{"id":248,"uris":["http://zotero.org/users/local/5grjdT5j/items/BZCSB9B5"],"uri":["http://zotero.org/users/local/5grjdT5j/items/BZCSB9B5"],"itemData":{"id":248,"type":"book","abstract":"Description not available.","ISBN":"978-0-8014-2476-2","publisher":"Cornell University Press","source":"JSTOR","title":"What Can She Know?: Feminist Theory and the Construction of Knowledge","title-short":"What Can She Know?","URL":"https://www.jstor.org/stable/10.7591/j.ctv5qdg81","author":[{"family":"Code","given":"Lorraine"}],"accessed":{"date-parts":[["2021",4,15]]},"issued":{"date-parts":[["1991"]]}}}],"schema":"https://github.com/citation-style-language/schema/raw/master/csl-citation.json"} </w:instrText>
      </w:r>
      <w:r w:rsidRPr="00C76FB3">
        <w:fldChar w:fldCharType="separate"/>
      </w:r>
      <w:r w:rsidRPr="00413FEF">
        <w:t>Code</w:t>
      </w:r>
      <w:r w:rsidR="00A75A01">
        <w:t>,</w:t>
      </w:r>
      <w:r w:rsidRPr="00413FEF">
        <w:t xml:space="preserve"> 1991, especially Chapter 5)</w:t>
      </w:r>
      <w:r w:rsidRPr="00C76FB3">
        <w:fldChar w:fldCharType="end"/>
      </w:r>
      <w:r w:rsidRPr="00413FEF">
        <w:t xml:space="preserve">, where it is argued that not only are women experts less likely to be taken seriously, but that the very model of knowledge is based on patriarchal structures. Like Code, Linda Martin </w:t>
      </w:r>
      <w:r w:rsidRPr="00C76FB3">
        <w:fldChar w:fldCharType="begin"/>
      </w:r>
      <w:r w:rsidRPr="00413FEF">
        <w:instrText xml:space="preserve"> ADDIN ZOTERO_ITEM CSL_CITATION {"citationID":"0bhGjJpJ","properties":{"formattedCitation":"(Alcoff, 1999)","plainCitation":"(Alcoff, 1999)","dontUpdate":true,"noteIndex":0},"citationItems":[{"id":247,"uris":["http://zotero.org/users/local/5grjdT5j/items/FLQ6PHSH"],"uri":["http://zotero.org/users/local/5grjdT5j/items/FLQ6PHSH"],"itemData":{"id":247,"type":"article-journal","container-title":"Philosophic Exchange","issue":"1","language":"en","page":"23","source":"Zotero","title":"On Judging Epistemic Credibility: Is Social Identity Relevant?","volume":"29","author":[{"family":"Alcoff","given":"Linda Martin"}],"issued":{"date-parts":[["1999"]]}}}],"schema":"https://github.com/citation-style-language/schema/raw/master/csl-citation.json"} </w:instrText>
      </w:r>
      <w:r w:rsidRPr="00C76FB3">
        <w:fldChar w:fldCharType="separate"/>
      </w:r>
      <w:r w:rsidRPr="00413FEF">
        <w:t>Alcoff (1999)</w:t>
      </w:r>
      <w:r w:rsidRPr="00C76FB3">
        <w:fldChar w:fldCharType="end"/>
      </w:r>
      <w:r w:rsidRPr="00413FEF">
        <w:t xml:space="preserve"> argues that social identity is relevant to epistemic credibility</w:t>
      </w:r>
      <w:r w:rsidR="00D17318" w:rsidRPr="00413FEF">
        <w:t>. I</w:t>
      </w:r>
      <w:r w:rsidRPr="00413FEF">
        <w:t xml:space="preserve">nsisting that epistemic practices are and should be </w:t>
      </w:r>
      <w:r w:rsidR="00A75A01">
        <w:t>“</w:t>
      </w:r>
      <w:r w:rsidRPr="00413FEF">
        <w:t>neutral</w:t>
      </w:r>
      <w:r w:rsidR="00A75A01">
        <w:t>”</w:t>
      </w:r>
      <w:r w:rsidRPr="00413FEF">
        <w:t xml:space="preserve"> is therefore inadequate. These phenomena have parallel repercussions in the case of trust. A female scientist</w:t>
      </w:r>
      <w:r w:rsidR="00CD45CD" w:rsidRPr="00413FEF">
        <w:t xml:space="preserve"> or one from an outgroup, </w:t>
      </w:r>
      <w:r w:rsidRPr="00413FEF">
        <w:t xml:space="preserve">for instance, may find it more difficult to </w:t>
      </w:r>
      <w:r w:rsidR="00CD45CD" w:rsidRPr="00413FEF">
        <w:t xml:space="preserve">garner trust in her work </w:t>
      </w:r>
      <w:r w:rsidRPr="00413FEF">
        <w:t>than a</w:t>
      </w:r>
      <w:r w:rsidR="00CD45CD" w:rsidRPr="00413FEF">
        <w:t xml:space="preserve"> white </w:t>
      </w:r>
      <w:r w:rsidRPr="00413FEF">
        <w:t>male scientist</w:t>
      </w:r>
      <w:r w:rsidR="00CD45CD" w:rsidRPr="00413FEF">
        <w:t xml:space="preserve"> from an elite educational background</w:t>
      </w:r>
      <w:r w:rsidRPr="00413FEF">
        <w:t>.</w:t>
      </w:r>
      <w:r w:rsidR="00CD45CD" w:rsidRPr="00413FEF">
        <w:t xml:space="preserve"> The well-known story of the eventual Nobel prize winner Katalin Karikó’s struggles to gain recognition for her pioneering work on mR</w:t>
      </w:r>
      <w:r w:rsidR="001E4009">
        <w:t xml:space="preserve">NA vaccine is a case in point. </w:t>
      </w:r>
    </w:p>
    <w:p w14:paraId="0D06F33A" w14:textId="31AE167D" w:rsidR="00190908" w:rsidRPr="00413FEF" w:rsidRDefault="00190908" w:rsidP="00C76FB3">
      <w:pPr>
        <w:spacing w:line="360" w:lineRule="auto"/>
        <w:ind w:firstLine="720"/>
      </w:pPr>
      <w:r w:rsidRPr="00413FEF">
        <w:t xml:space="preserve">Kariko’s case is a  pointer to </w:t>
      </w:r>
      <w:r w:rsidR="006A1884" w:rsidRPr="00413FEF">
        <w:t>the relevance of the social identity of the trustor</w:t>
      </w:r>
      <w:r w:rsidRPr="00413FEF">
        <w:t xml:space="preserve"> and trustee</w:t>
      </w:r>
      <w:r w:rsidR="006A1884" w:rsidRPr="00413FEF">
        <w:t xml:space="preserve">. As </w:t>
      </w:r>
      <w:r w:rsidR="006A1884" w:rsidRPr="00C76FB3">
        <w:fldChar w:fldCharType="begin"/>
      </w:r>
      <w:r w:rsidR="006A1884" w:rsidRPr="00413FEF">
        <w:instrText xml:space="preserve"> ADDIN ZOTERO_ITEM CSL_CITATION {"citationID":"8ozsISp9","properties":{"formattedCitation":"(Hawley, 2017)","plainCitation":"(Hawley, 2017)","dontUpdate":true,"noteIndex":0},"citationItems":[{"id":216,"uris":["http://zotero.org/users/local/5grjdT5j/items/LU4FVVBH"],"uri":["http://zotero.org/users/local/5grjdT5j/items/LU4FVVBH"],"itemData":{"id":216,"type":"chapter","container-title":"Routledge Handbook of Epistemic Injustice","publisher":"Routledge","source":"PhilPapers","title":"Trust, Distrust and Epistemic Injustice","editor":[{"family":"Kidd","given":"I. J."},{"family":"Medina","given":"J."},{"family":"Pohlhaus","given":"Gaile"}],"author":[{"family":"Hawley","given":"Katherine Jane"}],"issued":{"date-parts":[["2017"]]}}}],"schema":"https://github.com/citation-style-language/schema/raw/master/csl-citation.json"} </w:instrText>
      </w:r>
      <w:r w:rsidR="006A1884" w:rsidRPr="00C76FB3">
        <w:fldChar w:fldCharType="separate"/>
      </w:r>
      <w:r w:rsidR="006A1884" w:rsidRPr="00413FEF">
        <w:t>Hawley (2017)</w:t>
      </w:r>
      <w:r w:rsidR="006A1884" w:rsidRPr="00C76FB3">
        <w:fldChar w:fldCharType="end"/>
      </w:r>
      <w:r w:rsidR="006A1884" w:rsidRPr="00413FEF">
        <w:t xml:space="preserve"> points out, both trusting and distrusting are exercises of social power</w:t>
      </w:r>
      <w:r w:rsidR="00343FB1">
        <w:t>,</w:t>
      </w:r>
      <w:r w:rsidRPr="00413FEF">
        <w:t xml:space="preserve"> where what </w:t>
      </w:r>
      <w:r w:rsidR="006A1884" w:rsidRPr="00413FEF">
        <w:t>is at stake is both the social identity of the trustor and the trustee</w:t>
      </w:r>
      <w:r w:rsidR="00343FB1">
        <w:t>—</w:t>
      </w:r>
      <w:r w:rsidR="006A1884" w:rsidRPr="00413FEF">
        <w:t xml:space="preserve">the latter influencing the very possibility of her becoming an object of trust at all. </w:t>
      </w:r>
    </w:p>
    <w:p w14:paraId="160C4FC3" w14:textId="49A046B2" w:rsidR="006A1884" w:rsidRPr="00413FEF" w:rsidRDefault="006A1884" w:rsidP="00190908">
      <w:pPr>
        <w:spacing w:line="360" w:lineRule="auto"/>
        <w:ind w:firstLine="720"/>
      </w:pPr>
      <w:r w:rsidRPr="00413FEF">
        <w:t>One kind of testimonial injustice, as identified by Fricker (2006) is treating someone as a mere source of information, rather than as an informant (who is part of a community with shared goals), resulting in objectification. Hawley (2017) applies this point to trust, suggest</w:t>
      </w:r>
      <w:r w:rsidR="00343FB1">
        <w:t>ing that</w:t>
      </w:r>
      <w:r w:rsidRPr="00413FEF">
        <w:t xml:space="preserve"> objectification </w:t>
      </w:r>
      <w:r w:rsidR="00343FB1">
        <w:t>occurs</w:t>
      </w:r>
      <w:r w:rsidRPr="00413FEF">
        <w:t xml:space="preserve"> when we offer people mere reliance </w:t>
      </w:r>
      <w:r w:rsidR="00343FB1">
        <w:t>in situations where</w:t>
      </w:r>
      <w:r w:rsidRPr="00413FEF">
        <w:t xml:space="preserve"> the richer attitude of trust would be appropriate</w:t>
      </w:r>
      <w:r w:rsidR="00343FB1">
        <w:t>;</w:t>
      </w:r>
      <w:r w:rsidRPr="00413FEF">
        <w:t xml:space="preserve"> denying people trust is a form of disrespect. </w:t>
      </w:r>
      <w:r w:rsidRPr="00413FEF">
        <w:lastRenderedPageBreak/>
        <w:t xml:space="preserve">Hawley concludes that the form of injustice involved in lack of trust cannot entirely be explained on epistemic grounds: sometimes it is epistemically permissible to be more and less trusting, but </w:t>
      </w:r>
      <w:r w:rsidR="00343FB1">
        <w:t>“</w:t>
      </w:r>
      <w:r w:rsidRPr="00413FEF">
        <w:t>it is not morally permissible to switch between these doxastic policies on grounds of social identity</w:t>
      </w:r>
      <w:r w:rsidR="00343FB1">
        <w:t>”</w:t>
      </w:r>
      <w:r w:rsidRPr="00413FEF">
        <w:t xml:space="preserve"> (</w:t>
      </w:r>
      <w:r w:rsidR="00343FB1">
        <w:t xml:space="preserve">Hawley, 2017, p. </w:t>
      </w:r>
      <w:r w:rsidRPr="00413FEF">
        <w:t xml:space="preserve">78). More broadly, as </w:t>
      </w:r>
      <w:r w:rsidRPr="00C76FB3">
        <w:fldChar w:fldCharType="begin"/>
      </w:r>
      <w:r w:rsidRPr="00413FEF">
        <w:instrText xml:space="preserve"> ADDIN ZOTERO_ITEM CSL_CITATION {"citationID":"Yu2N6Qlp","properties":{"formattedCitation":"(Govier, 1992)","plainCitation":"(Govier, 1992)","dontUpdate":true,"noteIndex":0},"citationItems":[{"id":231,"uris":["http://zotero.org/users/local/5grjdT5j/items/8B4A7A4B"],"uri":["http://zotero.org/users/local/5grjdT5j/items/8B4A7A4B"],"itemData":{"id":231,"type":"article-journal","container-title":"Hypatia","DOI":"10.1111/j.1527-2001.1992.tb00695.x","issue":"1","note":"publisher: Wiley-Blackwell","page":"16–33","source":"PhilPapers","title":"Trust, Distrust, and Feminist Theory","volume":"7","author":[{"family":"Govier","given":"Trudy"}],"issued":{"date-parts":[["1992"]]}}}],"schema":"https://github.com/citation-style-language/schema/raw/master/csl-citation.json"} </w:instrText>
      </w:r>
      <w:r w:rsidRPr="00C76FB3">
        <w:fldChar w:fldCharType="separate"/>
      </w:r>
      <w:r w:rsidRPr="00413FEF">
        <w:t>Govier (1992)</w:t>
      </w:r>
      <w:r w:rsidRPr="00C76FB3">
        <w:fldChar w:fldCharType="end"/>
      </w:r>
      <w:r w:rsidRPr="00413FEF">
        <w:t xml:space="preserve"> has pointed out, if trust requires some degree of collaboration or partnership, inequality will get in the way of collaboration and hence of trust, so that these matters need to be addressed, individually and institutionally, for minimizing the influence that a history of oppression has on relationships of trust. Naomi Scheman (2011) has shown how bias and injustice can penetrate very deeply into the discourse of science, so that the very appeal to objectivity can entail a removal of social perspectives</w:t>
      </w:r>
      <w:r w:rsidR="00343FB1">
        <w:t>,</w:t>
      </w:r>
      <w:r w:rsidRPr="00413FEF">
        <w:t xml:space="preserve"> which block some participants from entering the discourse of objectivity. Only once this is acknowledged can the trustworthiness of science be convincingly demonstrated.</w:t>
      </w:r>
      <w:r w:rsidR="00190908" w:rsidRPr="00413FEF">
        <w:t xml:space="preserve">  </w:t>
      </w:r>
    </w:p>
    <w:p w14:paraId="3A27C0A9" w14:textId="658E7C26" w:rsidR="006A1884" w:rsidRPr="00413FEF" w:rsidRDefault="006A1884" w:rsidP="004756F6">
      <w:pPr>
        <w:spacing w:after="240" w:line="360" w:lineRule="auto"/>
        <w:ind w:firstLine="720"/>
      </w:pPr>
      <w:r w:rsidRPr="00413FEF">
        <w:t>Of particular concern is when trust lies mostly on the part of</w:t>
      </w:r>
      <w:r w:rsidR="00343FB1">
        <w:t>—</w:t>
      </w:r>
      <w:r w:rsidRPr="00413FEF">
        <w:t>as well as being encouraged from</w:t>
      </w:r>
      <w:r w:rsidR="00343FB1">
        <w:t>—</w:t>
      </w:r>
      <w:r w:rsidRPr="00413FEF">
        <w:t xml:space="preserve">vulnerable groups, including social and physical vulnerability. That does not only add to the inherent vulnerability of trust relationships, but also reinforces pre-existing power structures of political and epistemic inequality. </w:t>
      </w:r>
      <w:r w:rsidRPr="00C76FB3">
        <w:fldChar w:fldCharType="begin"/>
      </w:r>
      <w:r w:rsidRPr="00413FEF">
        <w:instrText xml:space="preserve"> ADDIN ZOTERO_ITEM CSL_CITATION {"citationID":"EBQeBVhp","properties":{"formattedCitation":"(Mackenzie, 2020)","plainCitation":"(Mackenzie, 2020)","dontUpdate":true,"noteIndex":0},"citationItems":[{"id":236,"uris":["http://zotero.org/users/local/5grjdT5j/items/GNYWMR9R"],"uri":["http://zotero.org/users/local/5grjdT5j/items/GNYWMR9R"],"itemData":{"id":236,"type":"article-journal","abstract":"While some trust theorists have adverted to the vulnerabilities involved in trust, especially vulnerability to betrayal, the literature on trust has not engaged with recent work on the ethics of vulnerability. This paper initiates a dialogue between these literatures, and in doing so begins to explore the complex interrelations between vulnerability and trust. More specifically, it aims to show how trust can both mitigate and compound vulnerability. Through a discussion of two examples drawn from literary sources, the paper also investigates the effects of pathogenic vulnerability on the psychic economies of trust and distrust.","container-title":"International Journal of Philosophical Studies","DOI":"10.1080/09672559.2020.1846985","ISSN":"0967-2559","issue":"5","note":"publisher: Routledge\n_eprint: https://doi.org/10.1080/09672559.2020.1846985","page":"624-643","source":"Taylor and Francis+NEJM","title":"Vulnerability, Insecurity and the Pathologies of Trust and Distrust","volume":"28","author":[{"family":"Mackenzie","given":"Catriona"}],"issued":{"date-parts":[["2020",10,19]]}}}],"schema":"https://github.com/citation-style-language/schema/raw/master/csl-citation.json"} </w:instrText>
      </w:r>
      <w:r w:rsidRPr="00C76FB3">
        <w:fldChar w:fldCharType="separate"/>
      </w:r>
      <w:r w:rsidRPr="00413FEF">
        <w:t>Catriona Mackenzie (</w:t>
      </w:r>
      <w:r w:rsidR="00B96C8B" w:rsidRPr="00413FEF">
        <w:t xml:space="preserve">2014, </w:t>
      </w:r>
      <w:r w:rsidRPr="00413FEF">
        <w:t>2020)</w:t>
      </w:r>
      <w:r w:rsidRPr="00C76FB3">
        <w:fldChar w:fldCharType="end"/>
      </w:r>
      <w:r w:rsidR="00B96C8B" w:rsidRPr="00413FEF">
        <w:t xml:space="preserve"> has</w:t>
      </w:r>
      <w:r w:rsidRPr="00413FEF">
        <w:t xml:space="preserve"> disti</w:t>
      </w:r>
      <w:r w:rsidR="00B96C8B" w:rsidRPr="00413FEF">
        <w:t xml:space="preserve">nguished </w:t>
      </w:r>
      <w:r w:rsidRPr="00413FEF">
        <w:t>between inherent, situational</w:t>
      </w:r>
      <w:r w:rsidR="004618C0">
        <w:t>,</w:t>
      </w:r>
      <w:r w:rsidRPr="00413FEF">
        <w:t xml:space="preserve"> and pathogenic vulnerabilities. Inherent vulnerability, embedded in the human condition and situational vulnerability, which arises from particular contexts, are exacerbated by pathogenic vulnerability</w:t>
      </w:r>
      <w:r w:rsidR="004618C0">
        <w:t>—</w:t>
      </w:r>
      <w:r w:rsidRPr="00413FEF">
        <w:t xml:space="preserve">where we are </w:t>
      </w:r>
      <w:r w:rsidR="004618C0">
        <w:t xml:space="preserve">simultaneously </w:t>
      </w:r>
      <w:r w:rsidRPr="00413FEF">
        <w:t xml:space="preserve">more in need of trust and more at risk </w:t>
      </w:r>
      <w:r w:rsidR="004618C0">
        <w:t xml:space="preserve">because of </w:t>
      </w:r>
      <w:r w:rsidRPr="00413FEF">
        <w:t xml:space="preserve">it. These cases highlight how trust can at the same time open up valuable opportunities and put us at great risk. Drawing on feminist literature, Anita </w:t>
      </w:r>
      <w:r w:rsidRPr="00C76FB3">
        <w:fldChar w:fldCharType="begin"/>
      </w:r>
      <w:r w:rsidRPr="00413FEF">
        <w:instrText xml:space="preserve"> ADDIN ZOTERO_ITEM CSL_CITATION {"citationID":"AK0qCHIf","properties":{"formattedCitation":"(Ho, 2011)","plainCitation":"(Ho, 2011)","dontUpdate":true,"noteIndex":0},"citationItems":[{"id":297,"uris":["http://zotero.org/users/local/5grjdT5j/items/GKLDFZF4"],"uri":["http://zotero.org/users/local/5grjdT5j/items/GKLDFZF4"],"itemData":{"id":297,"type":"article-journal","container-title":"International Journal of Feminist Approaches to Bioethics","DOI":"10.3138/ijfab.4.2.102","issue":"2","page":"102–123","source":"PhilPapers","title":"Trusting Experts and Epistemic Humility in Disability","volume":"4","author":[{"family":"Ho","given":"Anita"}],"issued":{"date-parts":[["2011"]]}}}],"schema":"https://github.com/citation-style-language/schema/raw/master/csl-citation.json"} </w:instrText>
      </w:r>
      <w:r w:rsidRPr="00C76FB3">
        <w:fldChar w:fldCharType="separate"/>
      </w:r>
      <w:r w:rsidRPr="00413FEF">
        <w:t>Ho (2011)</w:t>
      </w:r>
      <w:r w:rsidRPr="00C76FB3">
        <w:fldChar w:fldCharType="end"/>
      </w:r>
      <w:r w:rsidRPr="00413FEF">
        <w:t xml:space="preserve"> examines the case of trust between healthcare providers and people with impairments, arguing that the burden and vulnerability of trust lies excessively on the latter’s side, perpetuating social injustice. Their condition makes people with impairment</w:t>
      </w:r>
      <w:r w:rsidR="00D85E65">
        <w:t>s</w:t>
      </w:r>
      <w:r w:rsidRPr="00413FEF">
        <w:t xml:space="preserve"> less likely to be trusted and heightens the epistemic and power superiority of the healthcare providers in ways that are also not conducive to the best treatment. Ho calls for greater collaboration between professionals and people with impairments, a greater humility in professionals, and a greater appreciation of the knowledge and experience that people with impairments can bring to the conversation about healthcare.</w:t>
      </w:r>
      <w:r w:rsidR="00496E88" w:rsidRPr="00413FEF">
        <w:t xml:space="preserve"> </w:t>
      </w:r>
    </w:p>
    <w:p w14:paraId="1A9CC097" w14:textId="1075EC0F" w:rsidR="006A1884" w:rsidRPr="00D85E65" w:rsidRDefault="006A1884" w:rsidP="004756F6">
      <w:pPr>
        <w:pStyle w:val="ListParagraph"/>
        <w:numPr>
          <w:ilvl w:val="0"/>
          <w:numId w:val="1"/>
        </w:numPr>
        <w:spacing w:after="240" w:line="360" w:lineRule="auto"/>
        <w:rPr>
          <w:rFonts w:ascii="Times New Roman" w:hAnsi="Times New Roman" w:cs="Times New Roman"/>
          <w:i/>
          <w:iCs/>
          <w:lang w:val="en-GB"/>
        </w:rPr>
      </w:pPr>
      <w:r w:rsidRPr="00413FEF">
        <w:rPr>
          <w:rFonts w:ascii="Times New Roman" w:hAnsi="Times New Roman" w:cs="Times New Roman"/>
          <w:i/>
          <w:iCs/>
          <w:lang w:val="en-GB"/>
        </w:rPr>
        <w:t xml:space="preserve">Concerns </w:t>
      </w:r>
      <w:r w:rsidR="00D85E65">
        <w:rPr>
          <w:rFonts w:ascii="Times New Roman" w:hAnsi="Times New Roman" w:cs="Times New Roman"/>
          <w:i/>
          <w:iCs/>
          <w:lang w:val="en-GB"/>
        </w:rPr>
        <w:t>A</w:t>
      </w:r>
      <w:r w:rsidRPr="00413FEF">
        <w:rPr>
          <w:rFonts w:ascii="Times New Roman" w:hAnsi="Times New Roman" w:cs="Times New Roman"/>
          <w:i/>
          <w:iCs/>
          <w:lang w:val="en-GB"/>
        </w:rPr>
        <w:t xml:space="preserve">rising from the </w:t>
      </w:r>
      <w:r w:rsidR="00D85E65">
        <w:rPr>
          <w:rFonts w:ascii="Times New Roman" w:hAnsi="Times New Roman" w:cs="Times New Roman"/>
          <w:i/>
          <w:iCs/>
          <w:lang w:val="en-GB"/>
        </w:rPr>
        <w:t>V</w:t>
      </w:r>
      <w:r w:rsidRPr="00413FEF">
        <w:rPr>
          <w:rFonts w:ascii="Times New Roman" w:hAnsi="Times New Roman" w:cs="Times New Roman"/>
          <w:i/>
          <w:iCs/>
          <w:lang w:val="en-GB"/>
        </w:rPr>
        <w:t xml:space="preserve">alue-ladenness of </w:t>
      </w:r>
      <w:r w:rsidR="00D85E65">
        <w:rPr>
          <w:rFonts w:ascii="Times New Roman" w:hAnsi="Times New Roman" w:cs="Times New Roman"/>
          <w:i/>
          <w:iCs/>
          <w:lang w:val="en-GB"/>
        </w:rPr>
        <w:t>S</w:t>
      </w:r>
      <w:r w:rsidRPr="00413FEF">
        <w:rPr>
          <w:rFonts w:ascii="Times New Roman" w:hAnsi="Times New Roman" w:cs="Times New Roman"/>
          <w:i/>
          <w:iCs/>
          <w:lang w:val="en-GB"/>
        </w:rPr>
        <w:t xml:space="preserve">cience </w:t>
      </w:r>
    </w:p>
    <w:p w14:paraId="2E3AAEC8" w14:textId="34C8B00C" w:rsidR="006A1884" w:rsidRPr="00413FEF" w:rsidRDefault="006A1884" w:rsidP="00C76FB3">
      <w:pPr>
        <w:spacing w:line="360" w:lineRule="auto"/>
        <w:ind w:firstLine="720"/>
        <w:rPr>
          <w:lang w:val="en-GB"/>
        </w:rPr>
      </w:pPr>
      <w:r w:rsidRPr="00413FEF">
        <w:rPr>
          <w:lang w:val="en-GB"/>
        </w:rPr>
        <w:t xml:space="preserve">Science sceptics claim, on a variety of grounds, that science does not deliver the objective, interest-free knowledge it promises. Such scepticism may be directed at the corrupt </w:t>
      </w:r>
      <w:r w:rsidRPr="00413FEF">
        <w:rPr>
          <w:lang w:val="en-GB"/>
        </w:rPr>
        <w:lastRenderedPageBreak/>
        <w:t>practices of individual scientists, or it may be seen as inherent in the very methodology of science. Both types of criticism result in the accusation that the scientific theories and their resultant technical knowledge that inform policy decisions are never pure or value neutral, but to the contrary, they are often infused with personal and ideological biases that support the interests of the individual scientists and/or the existing economic and power hierarchies. We will look at each concern in turn.</w:t>
      </w:r>
      <w:r w:rsidR="00A26418">
        <w:rPr>
          <w:rStyle w:val="FootnoteReference"/>
          <w:lang w:val="en-GB"/>
        </w:rPr>
        <w:footnoteReference w:id="14"/>
      </w:r>
      <w:r w:rsidRPr="00413FEF">
        <w:rPr>
          <w:lang w:val="en-GB"/>
        </w:rPr>
        <w:t xml:space="preserve"> </w:t>
      </w:r>
    </w:p>
    <w:p w14:paraId="017AD5D6" w14:textId="16EDBBE4" w:rsidR="006A1884" w:rsidRPr="00413FEF" w:rsidRDefault="006A1884" w:rsidP="00C76FB3">
      <w:pPr>
        <w:spacing w:line="360" w:lineRule="auto"/>
        <w:ind w:firstLine="720"/>
        <w:rPr>
          <w:lang w:val="en-GB"/>
        </w:rPr>
      </w:pPr>
      <w:r w:rsidRPr="00413FEF">
        <w:rPr>
          <w:lang w:val="en-GB"/>
        </w:rPr>
        <w:t>The simplest reason for distrust of experts is the suspicion that their advice is informed by their personal and sectoral biases or financial interests. Examples of fraud, personal bias, and incompetence, while not very common, are part of the landscape of expertise. Undoubtedly, there are bad actors among experts whose advice is motivated by personal or professional gain rather than the best scientific evidence, but moral or professional failures at this personal level are not a very good reason for scepticism about the science/policy nexus. While blatant corruption is a sad social reality, there are reliable ways of detecting and addressing such corruption in scientific practice</w:t>
      </w:r>
      <w:r w:rsidR="001D2117">
        <w:rPr>
          <w:lang w:val="en-GB"/>
        </w:rPr>
        <w:t>—</w:t>
      </w:r>
      <w:r w:rsidRPr="00413FEF">
        <w:rPr>
          <w:lang w:val="en-GB"/>
        </w:rPr>
        <w:t>for instance</w:t>
      </w:r>
      <w:r w:rsidR="001D2117">
        <w:rPr>
          <w:lang w:val="en-GB"/>
        </w:rPr>
        <w:t>,</w:t>
      </w:r>
      <w:r w:rsidRPr="00413FEF">
        <w:rPr>
          <w:lang w:val="en-GB"/>
        </w:rPr>
        <w:t xml:space="preserve"> through peer review and expectations of the replicability of results, particularly where the results are surprising or indicate significant breakthroughs; whistle-blowers have also played an important role in exposing corrupt practices at institutional level. For these reasons, fraudulent practices within science are not very common.  </w:t>
      </w:r>
    </w:p>
    <w:p w14:paraId="45E6ED0A" w14:textId="6AF06E41" w:rsidR="006A1884" w:rsidRPr="00413FEF" w:rsidRDefault="006A1884" w:rsidP="00E869CB">
      <w:pPr>
        <w:spacing w:line="360" w:lineRule="auto"/>
        <w:ind w:firstLine="720"/>
        <w:rPr>
          <w:lang w:val="en-GB"/>
        </w:rPr>
      </w:pPr>
      <w:r w:rsidRPr="00413FEF">
        <w:rPr>
          <w:lang w:val="en-GB"/>
        </w:rPr>
        <w:t>There is a host of deeper and subtle</w:t>
      </w:r>
      <w:r w:rsidR="001D2117">
        <w:rPr>
          <w:lang w:val="en-GB"/>
        </w:rPr>
        <w:t>r</w:t>
      </w:r>
      <w:r w:rsidRPr="00413FEF">
        <w:rPr>
          <w:lang w:val="en-GB"/>
        </w:rPr>
        <w:t xml:space="preserve"> reasons for doubts about the purity and value neutrality of scientific advice</w:t>
      </w:r>
      <w:r w:rsidR="00220383">
        <w:rPr>
          <w:lang w:val="en-GB"/>
        </w:rPr>
        <w:t>—</w:t>
      </w:r>
      <w:r w:rsidRPr="00413FEF">
        <w:rPr>
          <w:lang w:val="en-GB"/>
        </w:rPr>
        <w:t>reasons that are embedded within the operational and theoretical frameworks of science rather than in the psychology or the proclivities of individual scientists. First, there are concerns about the underdetermination of scientific hypotheses by existing data, i.e.</w:t>
      </w:r>
      <w:r w:rsidR="00220383">
        <w:rPr>
          <w:lang w:val="en-GB"/>
        </w:rPr>
        <w:t>,</w:t>
      </w:r>
      <w:r w:rsidRPr="00413FEF">
        <w:rPr>
          <w:lang w:val="en-GB"/>
        </w:rPr>
        <w:t xml:space="preserve"> that there are empirically equivalent rival theories </w:t>
      </w:r>
      <w:r w:rsidR="00220383">
        <w:rPr>
          <w:lang w:val="en-GB"/>
        </w:rPr>
        <w:t>which</w:t>
      </w:r>
      <w:r w:rsidR="00220383" w:rsidRPr="00413FEF">
        <w:rPr>
          <w:lang w:val="en-GB"/>
        </w:rPr>
        <w:t xml:space="preserve"> </w:t>
      </w:r>
      <w:r w:rsidRPr="00413FEF">
        <w:rPr>
          <w:lang w:val="en-GB"/>
        </w:rPr>
        <w:t>are equally adequate in explaining experimental results or observations (</w:t>
      </w:r>
      <w:r w:rsidRPr="001B39C5">
        <w:rPr>
          <w:lang w:val="en-GB"/>
        </w:rPr>
        <w:fldChar w:fldCharType="begin"/>
      </w:r>
      <w:r w:rsidRPr="00413FEF">
        <w:rPr>
          <w:lang w:val="en-GB"/>
        </w:rPr>
        <w:instrText xml:space="preserve"> ADDIN ZOTERO_ITEM CSL_CITATION {"citationID":"a6Ebh7lu","properties":{"formattedCitation":"(Quine 1970)","plainCitation":"(Quine 1970)","dontUpdate":true,"noteIndex":0},"citationItems":[{"id":608,"uris":["http://zotero.org/users/local/5grjdT5j/items/XCQ58QKK"],"uri":["http://zotero.org/users/local/5grjdT5j/items/XCQ58QKK"],"itemData":{"id":608,"type":"article-journal","container-title":"Journal of Philosophy","DOI":"10.2307/2023887","issue":"6","note":"publisher: Journal of Philosophy Inc","page":"178–183","source":"PhilPapers","title":"On the Reasons for Indeterminacy of Translation","volume":"67","author":[{"family":"Quine","given":"W. V."}],"issued":{"date-parts":[["1970"]]}}}],"schema":"https://github.com/citation-style-language/schema/raw/master/csl-citation.json"} </w:instrText>
      </w:r>
      <w:r w:rsidRPr="004756F6">
        <w:rPr>
          <w:lang w:val="en-GB"/>
        </w:rPr>
        <w:fldChar w:fldCharType="separate"/>
      </w:r>
      <w:r w:rsidRPr="00413FEF">
        <w:rPr>
          <w:lang w:val="en-GB"/>
        </w:rPr>
        <w:t>Quine</w:t>
      </w:r>
      <w:r w:rsidR="00220383">
        <w:rPr>
          <w:lang w:val="en-GB"/>
        </w:rPr>
        <w:t>,</w:t>
      </w:r>
      <w:r w:rsidRPr="00413FEF">
        <w:rPr>
          <w:lang w:val="en-GB"/>
        </w:rPr>
        <w:t xml:space="preserve"> 1970</w:t>
      </w:r>
      <w:r w:rsidR="00220383">
        <w:rPr>
          <w:lang w:val="en-GB"/>
        </w:rPr>
        <w:t>, p.</w:t>
      </w:r>
      <w:r w:rsidRPr="00413FEF">
        <w:rPr>
          <w:lang w:val="en-GB"/>
        </w:rPr>
        <w:t xml:space="preserve"> 179)</w:t>
      </w:r>
      <w:r w:rsidRPr="001B39C5">
        <w:fldChar w:fldCharType="end"/>
      </w:r>
      <w:r w:rsidRPr="00413FEF">
        <w:rPr>
          <w:lang w:val="en-GB"/>
        </w:rPr>
        <w:t xml:space="preserve">. Underdetermination poses the question of how scientists choose between different empirically adequate rivals and the extent to which values play a role in such decisions. The so-called Problem of Unconceived Alternatives, based on the historical evidence that “typically [there] are alternatives to our best theories equally well confirmed by the evidence, even when we are unable to conceive of them at the time” </w:t>
      </w:r>
      <w:r w:rsidRPr="001B39C5">
        <w:rPr>
          <w:lang w:val="en-GB"/>
        </w:rPr>
        <w:fldChar w:fldCharType="begin"/>
      </w:r>
      <w:r w:rsidRPr="00413FEF">
        <w:rPr>
          <w:lang w:val="en-GB"/>
        </w:rPr>
        <w:instrText xml:space="preserve"> ADDIN ZOTERO_ITEM CSL_CITATION {"citationID":"BCeYtxf1","properties":{"formattedCitation":"(Stanford 2001)","plainCitation":"(Stanford 2001)","dontUpdate":true,"noteIndex":0},"citationItems":[{"id":644,"uris":["http://zotero.org/users/local/5grjdT5j/items/QIWWLYMU"],"uri":["http://zotero.org/users/local/5grjdT5j/items/QIWWLYMU"],"itemData":{"id":644,"type":"article-journal","container-title":"Philosophy of Science","DOI":"10.1086/392893","issue":"S3","note":"publisher: University of Chicago Press","page":"1–12","source":"PhilPapers","title":"Refusing the Devil’s Bargain: What Kind of Underdetermination Should We Take Seriously?","title-short":"Refusing the Devil’s Bargain","volume":"68","author":[{"family":"Stanford","given":"P. Kyle"}],"issued":{"date-parts":[["2001"]]}}}],"schema":"https://github.com/citation-style-language/schema/raw/master/csl-citation.json"} </w:instrText>
      </w:r>
      <w:r w:rsidRPr="004756F6">
        <w:rPr>
          <w:lang w:val="en-GB"/>
        </w:rPr>
        <w:fldChar w:fldCharType="separate"/>
      </w:r>
      <w:r w:rsidRPr="00413FEF">
        <w:rPr>
          <w:lang w:val="en-GB"/>
        </w:rPr>
        <w:t>(Stanford</w:t>
      </w:r>
      <w:r w:rsidR="00220383">
        <w:rPr>
          <w:lang w:val="en-GB"/>
        </w:rPr>
        <w:t>,</w:t>
      </w:r>
      <w:r w:rsidRPr="00413FEF">
        <w:rPr>
          <w:lang w:val="en-GB"/>
        </w:rPr>
        <w:t xml:space="preserve"> 2001</w:t>
      </w:r>
      <w:r w:rsidR="00220383">
        <w:rPr>
          <w:lang w:val="en-GB"/>
        </w:rPr>
        <w:t>,</w:t>
      </w:r>
      <w:r w:rsidRPr="00413FEF">
        <w:rPr>
          <w:lang w:val="en-GB"/>
        </w:rPr>
        <w:t xml:space="preserve"> S9)</w:t>
      </w:r>
      <w:r w:rsidRPr="001B39C5">
        <w:fldChar w:fldCharType="end"/>
      </w:r>
      <w:r w:rsidRPr="00413FEF">
        <w:rPr>
          <w:lang w:val="en-GB"/>
        </w:rPr>
        <w:t>, shines a different light on the same problem. The</w:t>
      </w:r>
      <w:r w:rsidR="00415921" w:rsidRPr="00413FEF">
        <w:rPr>
          <w:lang w:val="en-GB"/>
        </w:rPr>
        <w:t xml:space="preserve"> </w:t>
      </w:r>
      <w:r w:rsidR="00220383">
        <w:rPr>
          <w:lang w:val="en-GB"/>
        </w:rPr>
        <w:t>“</w:t>
      </w:r>
      <w:r w:rsidRPr="00413FEF">
        <w:rPr>
          <w:lang w:val="en-GB"/>
        </w:rPr>
        <w:t>new pessimistic meta induction</w:t>
      </w:r>
      <w:r w:rsidR="00220383">
        <w:rPr>
          <w:lang w:val="en-GB"/>
        </w:rPr>
        <w:t>”</w:t>
      </w:r>
      <w:r w:rsidRPr="00413FEF">
        <w:rPr>
          <w:lang w:val="en-GB"/>
        </w:rPr>
        <w:t xml:space="preserve"> from past failures in imagining better theoretical alternatives opens the possibility that we may be in the grip of </w:t>
      </w:r>
      <w:r w:rsidRPr="00413FEF">
        <w:rPr>
          <w:lang w:val="en-GB"/>
        </w:rPr>
        <w:lastRenderedPageBreak/>
        <w:t>similar failures now</w:t>
      </w:r>
      <w:r w:rsidR="00220383">
        <w:rPr>
          <w:lang w:val="en-GB"/>
        </w:rPr>
        <w:t xml:space="preserve"> and</w:t>
      </w:r>
      <w:r w:rsidRPr="00413FEF">
        <w:rPr>
          <w:lang w:val="en-GB"/>
        </w:rPr>
        <w:t xml:space="preserve"> that our biases and values may not allow us to imagine and give preference to alternative scientific theories. Finally, the Inductive risk argument (</w:t>
      </w:r>
      <w:r w:rsidRPr="001B39C5">
        <w:rPr>
          <w:lang w:val="en-GB"/>
        </w:rPr>
        <w:fldChar w:fldCharType="begin"/>
      </w:r>
      <w:r w:rsidRPr="00413FEF">
        <w:rPr>
          <w:lang w:val="en-GB"/>
        </w:rPr>
        <w:instrText xml:space="preserve"> ADDIN ZOTERO_ITEM CSL_CITATION {"citationID":"fhf2BoNP","properties":{"formattedCitation":"(Hempel 1965)","plainCitation":"(Hempel 1965)","dontUpdate":true,"noteIndex":0},"citationItems":[{"id":632,"uris":["http://zotero.org/users/local/5grjdT5j/items/HBF6C48H"],"uri":["http://zotero.org/users/local/5grjdT5j/items/HBF6C48H"],"itemData":{"id":632,"type":"chapter","container-title":"Aspects of Scientific Explanation and Other Essays in the Philosophy of Science","page":"81–96","publisher":"The Free Press","source":"PhilPapers","title":"Science and Human Values","author":[{"family":"Hempel","given":"Carl G."}],"issued":{"date-parts":[["1965"]]}}}],"schema":"https://github.com/citation-style-language/schema/raw/master/csl-citation.json"} </w:instrText>
      </w:r>
      <w:r w:rsidRPr="004756F6">
        <w:rPr>
          <w:lang w:val="en-GB"/>
        </w:rPr>
        <w:fldChar w:fldCharType="separate"/>
      </w:r>
      <w:r w:rsidRPr="00413FEF">
        <w:rPr>
          <w:lang w:val="en-GB"/>
        </w:rPr>
        <w:t>Hempel</w:t>
      </w:r>
      <w:r w:rsidR="00220383">
        <w:rPr>
          <w:lang w:val="en-GB"/>
        </w:rPr>
        <w:t>,</w:t>
      </w:r>
      <w:r w:rsidRPr="00413FEF">
        <w:rPr>
          <w:lang w:val="en-GB"/>
        </w:rPr>
        <w:t xml:space="preserve"> 1965</w:t>
      </w:r>
      <w:r w:rsidRPr="001B39C5">
        <w:fldChar w:fldCharType="end"/>
      </w:r>
      <w:r w:rsidRPr="001B39C5">
        <w:rPr>
          <w:lang w:val="en-GB"/>
        </w:rPr>
        <w:fldChar w:fldCharType="begin"/>
      </w:r>
      <w:r w:rsidRPr="00413FEF">
        <w:rPr>
          <w:lang w:val="en-GB"/>
        </w:rPr>
        <w:instrText xml:space="preserve"> ADDIN ZOTERO_ITEM CSL_CITATION {"citationID":"gHNGUrPL","properties":{"formattedCitation":"(Douglas 2013)","plainCitation":"(Douglas 2013)","dontUpdate":true,"noteIndex":0},"citationItems":[{"id":631,"uris":["http://zotero.org/users/local/5grjdT5j/items/6GDPM4GL"],"uri":["http://zotero.org/users/local/5grjdT5j/items/6GDPM4GL"],"itemData":{"id":631,"type":"article-journal","container-title":"Philosophy of Science","DOI":"10.1086/673716","issue":"5","page":"796–806","source":"PhilPapers","title":"The Value of Cognitive Values","volume":"80","author":[{"family":"Douglas","given":"Heather"}],"issued":{"date-parts":[["2013"]]}}}],"schema":"https://github.com/citation-style-language/schema/raw/master/csl-citation.json"} </w:instrText>
      </w:r>
      <w:r w:rsidRPr="004756F6">
        <w:rPr>
          <w:lang w:val="en-GB"/>
        </w:rPr>
        <w:fldChar w:fldCharType="separate"/>
      </w:r>
      <w:r w:rsidRPr="00413FEF">
        <w:rPr>
          <w:lang w:val="en-GB"/>
        </w:rPr>
        <w:t>; Douglas</w:t>
      </w:r>
      <w:r w:rsidR="00220383">
        <w:rPr>
          <w:lang w:val="en-GB"/>
        </w:rPr>
        <w:t>,</w:t>
      </w:r>
      <w:r w:rsidRPr="00413FEF">
        <w:rPr>
          <w:lang w:val="en-GB"/>
        </w:rPr>
        <w:t xml:space="preserve"> 2013)</w:t>
      </w:r>
      <w:r w:rsidRPr="001B39C5">
        <w:fldChar w:fldCharType="end"/>
      </w:r>
      <w:r w:rsidRPr="00413FEF">
        <w:rPr>
          <w:lang w:val="en-GB"/>
        </w:rPr>
        <w:t>, starts with the observation that scientists never have conclusive proof for their theories or complete evidence for their hypotheses, but always face a degree of uncertainty regarding scientific knowledge, so they need to use their judgement to make a final call on how much uncertainty they are going to accept. Such judgements always have strong normative elements.</w:t>
      </w:r>
    </w:p>
    <w:p w14:paraId="429F300F" w14:textId="0A749EE9" w:rsidR="006A1884" w:rsidRPr="001B39C5" w:rsidRDefault="006A1884" w:rsidP="004756F6">
      <w:pPr>
        <w:spacing w:after="240" w:line="360" w:lineRule="auto"/>
        <w:ind w:firstLine="720"/>
        <w:rPr>
          <w:lang w:val="en-GB"/>
        </w:rPr>
      </w:pPr>
      <w:r w:rsidRPr="00413FEF">
        <w:rPr>
          <w:lang w:val="en-GB"/>
        </w:rPr>
        <w:t>What the three arguments show is that theory choice is not fully determined by available evidence</w:t>
      </w:r>
      <w:r w:rsidR="008B47B5">
        <w:rPr>
          <w:lang w:val="en-GB"/>
        </w:rPr>
        <w:t>:</w:t>
      </w:r>
      <w:r w:rsidRPr="00413FEF">
        <w:rPr>
          <w:lang w:val="en-GB"/>
        </w:rPr>
        <w:t xml:space="preserve"> scientists use their judgement, exercise imagination</w:t>
      </w:r>
      <w:r w:rsidR="00861ED7">
        <w:rPr>
          <w:lang w:val="en-GB"/>
        </w:rPr>
        <w:t>,</w:t>
      </w:r>
      <w:r w:rsidRPr="00413FEF">
        <w:rPr>
          <w:lang w:val="en-GB"/>
        </w:rPr>
        <w:t xml:space="preserve"> and make risk assessments in prioritizing a particular theory over and above </w:t>
      </w:r>
      <w:r w:rsidR="008B47B5">
        <w:rPr>
          <w:lang w:val="en-GB"/>
        </w:rPr>
        <w:t>others</w:t>
      </w:r>
      <w:r w:rsidRPr="00413FEF">
        <w:rPr>
          <w:lang w:val="en-GB"/>
        </w:rPr>
        <w:t>, and in doing so</w:t>
      </w:r>
      <w:r w:rsidR="008B47B5">
        <w:rPr>
          <w:lang w:val="en-GB"/>
        </w:rPr>
        <w:t>,</w:t>
      </w:r>
      <w:r w:rsidRPr="00413FEF">
        <w:rPr>
          <w:lang w:val="en-GB"/>
        </w:rPr>
        <w:t xml:space="preserve"> they inevitably rely on value judgements. Moreover, contra </w:t>
      </w:r>
      <w:r w:rsidRPr="001B39C5">
        <w:rPr>
          <w:lang w:val="en-GB"/>
        </w:rPr>
        <w:fldChar w:fldCharType="begin"/>
      </w:r>
      <w:r w:rsidRPr="00413FEF">
        <w:rPr>
          <w:lang w:val="en-GB"/>
        </w:rPr>
        <w:instrText xml:space="preserve"> ADDIN ZOTERO_ITEM CSL_CITATION {"citationID":"GJnFzi8u","properties":{"formattedCitation":"(Kuhn 1977)","plainCitation":"(Kuhn 1977)","dontUpdate":true,"noteIndex":0},"citationItems":[{"id":645,"uris":["http://zotero.org/users/local/5grjdT5j/items/YFLZKMBF"],"uri":["http://zotero.org/users/local/5grjdT5j/items/YFLZKMBF"],"itemData":{"id":645,"type":"chapter","container-title":"The Essential Tension: Selected Studies in Scientific Tradition and Change","page":"320–39","publisher":"University of Chicago Press","source":"PhilPapers","title":"Objectivity, Value Judgment, and Theory Choice","author":[{"family":"Kuhn","given":"Thomas S."}],"issued":{"date-parts":[["1977"]]}}}],"schema":"https://github.com/citation-style-language/schema/raw/master/csl-citation.json"} </w:instrText>
      </w:r>
      <w:r w:rsidRPr="004756F6">
        <w:rPr>
          <w:lang w:val="en-GB"/>
        </w:rPr>
        <w:fldChar w:fldCharType="separate"/>
      </w:r>
      <w:r w:rsidRPr="00413FEF">
        <w:rPr>
          <w:lang w:val="en-GB"/>
        </w:rPr>
        <w:t>Kuhn (1977)</w:t>
      </w:r>
      <w:r w:rsidRPr="001B39C5">
        <w:fldChar w:fldCharType="end"/>
      </w:r>
      <w:r w:rsidRPr="00413FEF">
        <w:rPr>
          <w:lang w:val="en-GB"/>
        </w:rPr>
        <w:t>, such judgements are not restricted to epistemic values only. As Heather Douglas (2013) has argued, values</w:t>
      </w:r>
      <w:r w:rsidR="00795E25">
        <w:rPr>
          <w:lang w:val="en-GB"/>
        </w:rPr>
        <w:t>—</w:t>
      </w:r>
      <w:r w:rsidRPr="00413FEF">
        <w:rPr>
          <w:lang w:val="en-GB"/>
        </w:rPr>
        <w:t>both epistemic and moral</w:t>
      </w:r>
      <w:r w:rsidR="00795E25">
        <w:rPr>
          <w:lang w:val="en-GB"/>
        </w:rPr>
        <w:t>—</w:t>
      </w:r>
      <w:r w:rsidRPr="00413FEF">
        <w:rPr>
          <w:lang w:val="en-GB"/>
        </w:rPr>
        <w:t xml:space="preserve">come to play an important role in framing the problems scientists address, deciding on the range of evidence they consider, the scope they assign to a hypothesis, </w:t>
      </w:r>
      <w:r w:rsidR="00795E25">
        <w:rPr>
          <w:lang w:val="en-GB"/>
        </w:rPr>
        <w:t>the</w:t>
      </w:r>
      <w:r w:rsidR="00795E25" w:rsidRPr="00413FEF">
        <w:rPr>
          <w:lang w:val="en-GB"/>
        </w:rPr>
        <w:t xml:space="preserve"> </w:t>
      </w:r>
      <w:r w:rsidRPr="00413FEF">
        <w:rPr>
          <w:lang w:val="en-GB"/>
        </w:rPr>
        <w:t xml:space="preserve">level of uncertainty they are willing to accept, </w:t>
      </w:r>
      <w:r w:rsidR="00795E25">
        <w:rPr>
          <w:lang w:val="en-GB"/>
        </w:rPr>
        <w:t xml:space="preserve">and </w:t>
      </w:r>
      <w:r w:rsidRPr="00413FEF">
        <w:rPr>
          <w:lang w:val="en-GB"/>
        </w:rPr>
        <w:t xml:space="preserve">how they calculate the consequences of </w:t>
      </w:r>
      <w:r w:rsidR="00795E25">
        <w:rPr>
          <w:lang w:val="en-GB"/>
        </w:rPr>
        <w:t xml:space="preserve">potential </w:t>
      </w:r>
      <w:r w:rsidRPr="00413FEF">
        <w:rPr>
          <w:lang w:val="en-GB"/>
        </w:rPr>
        <w:t>error</w:t>
      </w:r>
      <w:r w:rsidR="00795E25">
        <w:rPr>
          <w:lang w:val="en-GB"/>
        </w:rPr>
        <w:t>, among other factors</w:t>
      </w:r>
      <w:r w:rsidRPr="00413FEF">
        <w:rPr>
          <w:lang w:val="en-GB"/>
        </w:rPr>
        <w:t>. The optimists about science, and Douglas is among them, believe that scientists should, and are in a position to, bring in values such as benevolence (or a concern for the welfare of others) and the principles of least harm and due diligence in assessing negative consequences to ensure that the value gap in science is addressed in ways that are beneficial to the recipients of their advice. Pessimists, among them some feminist epistemologist</w:t>
      </w:r>
      <w:r w:rsidR="00C76FB3">
        <w:rPr>
          <w:lang w:val="en-GB"/>
        </w:rPr>
        <w:t>s</w:t>
      </w:r>
      <w:r w:rsidRPr="00413FEF">
        <w:rPr>
          <w:lang w:val="en-GB"/>
        </w:rPr>
        <w:t xml:space="preserve">, on the other hand, point out that scientists’ theoretical choices are frequently coloured by unacknowledged gender, race, class, and other ideological biases. Moreover, in most cases, only a historic distance will allow us to detect the full range of pernicious values that are brought to bear on the choices of theory and evidence. The upshot is </w:t>
      </w:r>
      <w:proofErr w:type="gramStart"/>
      <w:r w:rsidRPr="00413FEF">
        <w:rPr>
          <w:lang w:val="en-GB"/>
        </w:rPr>
        <w:t>that,</w:t>
      </w:r>
      <w:proofErr w:type="gramEnd"/>
      <w:r w:rsidRPr="00413FEF">
        <w:rPr>
          <w:lang w:val="en-GB"/>
        </w:rPr>
        <w:t xml:space="preserve"> one way or another, theory choice is not </w:t>
      </w:r>
      <w:commentRangeStart w:id="0"/>
      <w:r w:rsidRPr="00413FEF">
        <w:rPr>
          <w:lang w:val="en-GB"/>
        </w:rPr>
        <w:t>value</w:t>
      </w:r>
      <w:r w:rsidR="00C76FB3">
        <w:rPr>
          <w:lang w:val="en-GB"/>
        </w:rPr>
        <w:t>-</w:t>
      </w:r>
      <w:r w:rsidRPr="00413FEF">
        <w:rPr>
          <w:lang w:val="en-GB"/>
        </w:rPr>
        <w:t>natural</w:t>
      </w:r>
      <w:commentRangeEnd w:id="0"/>
      <w:r w:rsidR="00C76FB3">
        <w:rPr>
          <w:rStyle w:val="CommentReference"/>
          <w:rFonts w:asciiTheme="minorHAnsi" w:eastAsiaTheme="minorEastAsia" w:hAnsiTheme="minorHAnsi" w:cstheme="minorBidi"/>
          <w:lang w:val="en-GB" w:eastAsia="en-US"/>
        </w:rPr>
        <w:commentReference w:id="0"/>
      </w:r>
      <w:r w:rsidRPr="00413FEF">
        <w:rPr>
          <w:lang w:val="en-GB"/>
        </w:rPr>
        <w:t>, and the values that are brought to bear have</w:t>
      </w:r>
      <w:r w:rsidR="001B39C5">
        <w:rPr>
          <w:lang w:val="en-GB"/>
        </w:rPr>
        <w:t xml:space="preserve"> a social and moral dimension. </w:t>
      </w:r>
    </w:p>
    <w:p w14:paraId="53186928" w14:textId="370103D2" w:rsidR="006A1884" w:rsidRPr="001B39C5" w:rsidRDefault="006A1884" w:rsidP="004756F6">
      <w:pPr>
        <w:pStyle w:val="ListParagraph"/>
        <w:numPr>
          <w:ilvl w:val="0"/>
          <w:numId w:val="1"/>
        </w:numPr>
        <w:tabs>
          <w:tab w:val="left" w:pos="426"/>
        </w:tabs>
        <w:autoSpaceDE w:val="0"/>
        <w:autoSpaceDN w:val="0"/>
        <w:adjustRightInd w:val="0"/>
        <w:spacing w:after="240" w:line="360" w:lineRule="auto"/>
        <w:rPr>
          <w:rFonts w:ascii="Times New Roman" w:hAnsi="Times New Roman" w:cs="Times New Roman"/>
          <w:lang w:val="en-GB"/>
        </w:rPr>
      </w:pPr>
      <w:r w:rsidRPr="00413FEF">
        <w:rPr>
          <w:rFonts w:ascii="Times New Roman" w:eastAsia="Times New Roman" w:hAnsi="Times New Roman" w:cs="Times New Roman"/>
          <w:i/>
          <w:iCs/>
          <w:lang w:val="en-GB" w:eastAsia="en-GB"/>
        </w:rPr>
        <w:t xml:space="preserve">Accommodating </w:t>
      </w:r>
      <w:r w:rsidR="001B39C5">
        <w:rPr>
          <w:rFonts w:ascii="Times New Roman" w:eastAsia="Times New Roman" w:hAnsi="Times New Roman" w:cs="Times New Roman"/>
          <w:i/>
          <w:iCs/>
          <w:lang w:val="en-GB" w:eastAsia="en-GB"/>
        </w:rPr>
        <w:t>V</w:t>
      </w:r>
      <w:r w:rsidRPr="00413FEF">
        <w:rPr>
          <w:rFonts w:ascii="Times New Roman" w:eastAsia="Times New Roman" w:hAnsi="Times New Roman" w:cs="Times New Roman"/>
          <w:i/>
          <w:iCs/>
          <w:lang w:val="en-GB" w:eastAsia="en-GB"/>
        </w:rPr>
        <w:t xml:space="preserve">alues </w:t>
      </w:r>
    </w:p>
    <w:p w14:paraId="37305B4C" w14:textId="3AB304A7" w:rsidR="006A1884" w:rsidRPr="00413FEF" w:rsidRDefault="006A1884" w:rsidP="00DF6E0B">
      <w:pPr>
        <w:shd w:val="clear" w:color="auto" w:fill="FFFFFF"/>
        <w:spacing w:line="360" w:lineRule="auto"/>
        <w:ind w:firstLine="720"/>
      </w:pPr>
      <w:r w:rsidRPr="00413FEF">
        <w:t xml:space="preserve">Trustworthy science attempts to acknowledge the role of values in sciences and to come to terms with it in appropriate ways. The first step toward such accommodation is to acknowledge the uncertainties of science and the value gap between evidence and theory, ensuring in particular that the gaps are filled in such a way that the well-being and best interest of those affected by the activities and findings of the scientists concerned become </w:t>
      </w:r>
      <w:r w:rsidRPr="00413FEF">
        <w:lastRenderedPageBreak/>
        <w:t>central to the conduct of science. This transparency and acknowledgment of value would go some way toward addressing the concerns expressed above.</w:t>
      </w:r>
    </w:p>
    <w:p w14:paraId="0805875D" w14:textId="4766D5A6" w:rsidR="006A1884" w:rsidRPr="00413FEF" w:rsidRDefault="006A1884" w:rsidP="004756F6">
      <w:pPr>
        <w:shd w:val="clear" w:color="auto" w:fill="FFFFFF"/>
        <w:spacing w:after="240" w:line="360" w:lineRule="auto"/>
        <w:ind w:firstLine="720"/>
      </w:pPr>
      <w:r w:rsidRPr="00413FEF">
        <w:t xml:space="preserve">The second step is the acknowledgment of the values that may inform the public’s inclination or disinclination to trust specific scientific information. The creation of a climate of trust requires </w:t>
      </w:r>
      <w:r w:rsidR="003F420B">
        <w:t>an</w:t>
      </w:r>
      <w:r w:rsidR="003F420B" w:rsidRPr="00413FEF">
        <w:t xml:space="preserve"> </w:t>
      </w:r>
      <w:r w:rsidRPr="00413FEF">
        <w:t xml:space="preserve">awareness that distrust in scientists may </w:t>
      </w:r>
      <w:r w:rsidR="003F420B">
        <w:t xml:space="preserve">stem from </w:t>
      </w:r>
      <w:r w:rsidRPr="00413FEF">
        <w:t xml:space="preserve"> genuine differences between the public and experts </w:t>
      </w:r>
      <w:r w:rsidR="003F420B">
        <w:t>regarding</w:t>
      </w:r>
      <w:r w:rsidR="003F420B" w:rsidRPr="00413FEF">
        <w:t xml:space="preserve"> </w:t>
      </w:r>
      <w:r w:rsidRPr="00413FEF">
        <w:t>the values that shape scientific research</w:t>
      </w:r>
      <w:r w:rsidR="00B967DC" w:rsidRPr="00413FEF">
        <w:t xml:space="preserve"> (</w:t>
      </w:r>
      <w:r w:rsidRPr="00413FEF">
        <w:t>Kitcher</w:t>
      </w:r>
      <w:r w:rsidR="003F420B">
        <w:t>,</w:t>
      </w:r>
      <w:r w:rsidRPr="00413FEF">
        <w:t xml:space="preserve"> 2011). In what is presented as a purely scientific question, different values, priorities, and preferences are involved, and bringing them out may lead to a more respectful, but also more mutually trusting practice. </w:t>
      </w:r>
      <w:r w:rsidR="00457A15" w:rsidRPr="00413FEF">
        <w:t>So</w:t>
      </w:r>
      <w:r w:rsidR="00D263E3">
        <w:t>,</w:t>
      </w:r>
      <w:r w:rsidR="00457A15" w:rsidRPr="00413FEF">
        <w:t xml:space="preserve"> Popa (2024) argues for assessing trust-conducive values in public health. </w:t>
      </w:r>
      <w:r w:rsidRPr="00413FEF">
        <w:t xml:space="preserve">Also helpful is addressing </w:t>
      </w:r>
      <w:r w:rsidR="00D263E3">
        <w:t xml:space="preserve">the </w:t>
      </w:r>
      <w:r w:rsidRPr="00413FEF">
        <w:t xml:space="preserve">lack of clear diversity and broad representation in the scientific community, </w:t>
      </w:r>
      <w:r w:rsidR="00D263E3">
        <w:t>as well as the</w:t>
      </w:r>
      <w:r w:rsidRPr="00413FEF">
        <w:t xml:space="preserve"> insufficient acknowledgement of the plurality of values that determine trust and distrust in science. To take one example, climate sceptics appear highly susceptible to messages delivered by their social group, particularly their own political group. This demonstrates not only reluctance to change, but also the importance of group belonging when it comes to trust. Group belonging here includes values: shared conservative values have been shown to play an important role in whom to trust. For these reasons, David </w:t>
      </w:r>
      <w:r w:rsidRPr="001B39C5">
        <w:fldChar w:fldCharType="begin"/>
      </w:r>
      <w:r w:rsidRPr="00413FEF">
        <w:instrText xml:space="preserve"> ADDIN ZOTERO_ITEM CSL_CITATION {"citationID":"1lz6BnPr","properties":{"formattedCitation":"(Hall 2019)","plainCitation":"(Hall 2019)","noteIndex":0},"citationItems":[{"id":438,"uris":["http://zotero.org/users/local/5grjdT5j/items/WU4V3BY8"],"uri":["http://zotero.org/users/local/5grjdT5j/items/WU4V3BY8"],"itemData":{"id":438,"type":"article-journal","abstract":"Climate action is conventionally framed in terms of overcoming epistemic and practical disagreement. An alternative view is to treat people’s understandings of climate change as fundamentally pluralistic and to conceive of ...","container-title":"Theoria","DOI":"10.3167/th.2019.6616003","issue":"160","language":"en","source":"philpapers.org","title":"Internal Reasons and the Problem of Climate Change","URL":"https://philpapers.org/rec/HALIRA-2","volume":"66","author":[{"family":"Hall","given":"David"}],"accessed":{"date-parts":[["2021",5,2]]},"issued":{"date-parts":[["2019"]]}}}],"schema":"https://github.com/citation-style-language/schema/raw/master/csl-citation.json"} </w:instrText>
      </w:r>
      <w:r w:rsidRPr="001B39C5">
        <w:fldChar w:fldCharType="separate"/>
      </w:r>
      <w:r w:rsidRPr="00413FEF">
        <w:rPr>
          <w:noProof/>
        </w:rPr>
        <w:t>Hall (2019)</w:t>
      </w:r>
      <w:r w:rsidRPr="001B39C5">
        <w:fldChar w:fldCharType="end"/>
      </w:r>
      <w:r w:rsidRPr="00413FEF">
        <w:t xml:space="preserve"> has suggested that in order to address climate scepticism</w:t>
      </w:r>
      <w:r w:rsidR="00F94FA5">
        <w:t>,</w:t>
      </w:r>
      <w:r w:rsidRPr="00413FEF">
        <w:t xml:space="preserve"> it is necessary to </w:t>
      </w:r>
      <w:r w:rsidR="00F94FA5">
        <w:t>“</w:t>
      </w:r>
      <w:r w:rsidRPr="00413FEF">
        <w:t>frame</w:t>
      </w:r>
      <w:r w:rsidR="00F94FA5">
        <w:t>”</w:t>
      </w:r>
      <w:r w:rsidRPr="00413FEF">
        <w:t xml:space="preserve"> the message without denying or eradicating the fundamental values of some groups. Drawing on</w:t>
      </w:r>
      <w:r w:rsidRPr="001B39C5">
        <w:fldChar w:fldCharType="begin"/>
      </w:r>
      <w:r w:rsidRPr="00413FEF">
        <w:instrText xml:space="preserve"> ADDIN ZOTERO_ITEM CSL_CITATION {"citationID":"OaJ6Hz0v","properties":{"formattedCitation":"(Williams 1979)","plainCitation":"(Williams 1979)","noteIndex":0},"citationItems":[{"id":666,"uris":["http://zotero.org/users/local/5grjdT5j/items/T7IAPUK7"],"uri":["http://zotero.org/users/local/5grjdT5j/items/T7IAPUK7"],"itemData":{"id":666,"type":"chapter","container-title":"Rational Action","page":"101–113","publisher":"Cambridge University Press","source":"PhilPapers","title":"Internal and External Reasons","editor":[{"family":"Harrison","given":"Ross"}],"author":[{"family":"Williams","given":"Bernard"}],"issued":{"date-parts":[["1979"]]}}}],"schema":"https://github.com/citation-style-language/schema/raw/master/csl-citation.json"} </w:instrText>
      </w:r>
      <w:r w:rsidRPr="001B39C5">
        <w:fldChar w:fldCharType="separate"/>
      </w:r>
      <w:r w:rsidRPr="00413FEF">
        <w:rPr>
          <w:noProof/>
        </w:rPr>
        <w:t xml:space="preserve"> Bernard Williams</w:t>
      </w:r>
      <w:r w:rsidR="00F94FA5" w:rsidRPr="00413FEF">
        <w:rPr>
          <w:shd w:val="clear" w:color="auto" w:fill="FFFFFF"/>
        </w:rPr>
        <w:t>’</w:t>
      </w:r>
      <w:r w:rsidRPr="00413FEF">
        <w:rPr>
          <w:noProof/>
        </w:rPr>
        <w:t>s (1979)</w:t>
      </w:r>
      <w:r w:rsidRPr="001B39C5">
        <w:fldChar w:fldCharType="end"/>
      </w:r>
      <w:r w:rsidRPr="00413FEF">
        <w:t xml:space="preserve"> “internal reasons</w:t>
      </w:r>
      <w:r w:rsidR="00F94FA5">
        <w:t>,</w:t>
      </w:r>
      <w:r w:rsidRPr="00413FEF">
        <w:t xml:space="preserve">” Hall suggests a model of persuasion </w:t>
      </w:r>
      <w:r w:rsidRPr="00413FEF">
        <w:rPr>
          <w:shd w:val="clear" w:color="auto" w:fill="FFFFFF"/>
        </w:rPr>
        <w:t xml:space="preserve">which is truthful, and also which acknowledges the plurality of people’s motivations, connecting facts about climate change with people’s </w:t>
      </w:r>
      <w:r w:rsidRPr="00413FEF">
        <w:rPr>
          <w:i/>
          <w:iCs/>
          <w:shd w:val="clear" w:color="auto" w:fill="FFFFFF"/>
        </w:rPr>
        <w:t xml:space="preserve">subjective motivational sets </w:t>
      </w:r>
      <w:r w:rsidRPr="00413FEF">
        <w:rPr>
          <w:shd w:val="clear" w:color="auto" w:fill="FFFFFF"/>
        </w:rPr>
        <w:t>(Hall</w:t>
      </w:r>
      <w:r w:rsidR="00F94FA5">
        <w:rPr>
          <w:shd w:val="clear" w:color="auto" w:fill="FFFFFF"/>
        </w:rPr>
        <w:t>,</w:t>
      </w:r>
      <w:r w:rsidRPr="00413FEF">
        <w:rPr>
          <w:shd w:val="clear" w:color="auto" w:fill="FFFFFF"/>
        </w:rPr>
        <w:t xml:space="preserve"> 2019, </w:t>
      </w:r>
      <w:r w:rsidR="00F94FA5">
        <w:rPr>
          <w:shd w:val="clear" w:color="auto" w:fill="FFFFFF"/>
        </w:rPr>
        <w:t xml:space="preserve">pp. </w:t>
      </w:r>
      <w:r w:rsidRPr="00413FEF">
        <w:rPr>
          <w:shd w:val="clear" w:color="auto" w:fill="FFFFFF"/>
        </w:rPr>
        <w:t>41-42)</w:t>
      </w:r>
      <w:r w:rsidRPr="00413FEF">
        <w:t xml:space="preserve">. Similarly, </w:t>
      </w:r>
      <w:r w:rsidRPr="001B39C5">
        <w:fldChar w:fldCharType="begin"/>
      </w:r>
      <w:r w:rsidRPr="00413FEF">
        <w:instrText xml:space="preserve"> ADDIN ZOTERO_ITEM CSL_CITATION {"citationID":"AeZIB33M","properties":{"formattedCitation":"(Feygina, Jost, and Goldsmith 2010)","plainCitation":"(Feygina, Jost, and Goldsmith 2010)","noteIndex":0},"citationItems":[{"id":444,"uris":["http://zotero.org/users/local/5grjdT5j/items/8FHZKNDC"],"uri":["http://zotero.org/users/local/5grjdT5j/items/8FHZKNDC"],"itemData":{"id":444,"type":"article-journal","abstract":"Despite extensive evidence of climate change and environmental destruction, polls continue to reveal widespread denial and resistance to helping the environment. It is posited here that these responses are linked to the motivational tendency to defend and justify the societal status quo in the face of the threat posed by environmental problems. The present research finds that system justification tendencies are associated with greater denial of environmental realities and less commitment to pro-environmental action. Moreover, the effects of political conservatism, national identification, and gender on denial of environmental problems are explained by variability in system justification tendencies. However, this research finds that it is possible to eliminate the negative effect of system justification on environmentalism by encouraging people to regard pro-environmental change as patriotic and consistent with protecting the status quo (i.e., as a case of “system-sanctioned change”). Theoretical and practical implications of these findings are discussed.","container-title":"Personality and Social Psychology Bulletin","DOI":"10.1177/0146167209351435","ISSN":"0146-1672","issue":"3","journalAbbreviation":"Pers Soc Psychol Bull","language":"en","note":"publisher: SAGE Publications Inc","page":"326-338","source":"SAGE Journals","title":"System Justification, the Denial of Global Warming, and the Possibility of “System-Sanctioned Change”","volume":"36","author":[{"family":"Feygina","given":"Irina"},{"family":"Jost","given":"John T."},{"family":"Goldsmith","given":"Rachel E."}],"issued":{"date-parts":[["2010",3,1]]}}}],"schema":"https://github.com/citation-style-language/schema/raw/master/csl-citation.json"} </w:instrText>
      </w:r>
      <w:r w:rsidRPr="001B39C5">
        <w:fldChar w:fldCharType="separate"/>
      </w:r>
      <w:r w:rsidRPr="00413FEF">
        <w:rPr>
          <w:noProof/>
        </w:rPr>
        <w:t>Feygina, Jost, and Goldsmith (2010)</w:t>
      </w:r>
      <w:r w:rsidRPr="001B39C5">
        <w:fldChar w:fldCharType="end"/>
      </w:r>
      <w:r w:rsidRPr="00413FEF">
        <w:t xml:space="preserve"> suggest that reframing pro-environmental change as, for instance, preserving, rather than challenging, the social system (e.g., the “American way of life”) may encourage those who are motivated to protect the system to take greater personal responsibility (</w:t>
      </w:r>
      <w:r w:rsidR="00F94FA5">
        <w:t xml:space="preserve">p. </w:t>
      </w:r>
      <w:r w:rsidRPr="00413FEF">
        <w:t>333</w:t>
      </w:r>
      <w:r w:rsidR="00F94FA5">
        <w:t>,  s</w:t>
      </w:r>
      <w:r w:rsidRPr="00413FEF">
        <w:t xml:space="preserve">ee also </w:t>
      </w:r>
      <w:r w:rsidRPr="001B39C5">
        <w:fldChar w:fldCharType="begin"/>
      </w:r>
      <w:r w:rsidRPr="00413FEF">
        <w:instrText xml:space="preserve"> ADDIN ZOTERO_ITEM CSL_CITATION {"citationID":"rTh03Fnm","properties":{"formattedCitation":"(Kahan 2010)","plainCitation":"(Kahan 2010)","noteIndex":0},"citationItems":[{"id":583,"uris":["http://zotero.org/users/local/5grjdT5j/items/KWESPHY8"],"uri":["http://zotero.org/users/local/5grjdT5j/items/KWESPHY8"],"itemData":{"id":583,"type":"article-journal","abstract":"People's grasp of scientific debates can improve if communicators build on the fact that cultural values influence what and whom we believe, says Dan Kahan.","container-title":"Nature","DOI":"10.1038/463296a","ISSN":"1476-4687","issue":"7279","language":"en","note":"number: 7279\npublisher: Nature Publishing Group","page":"296-297","source":"www.nature.com","title":"Fixing the communications failure","volume":"463","author":[{"family":"Kahan","given":"Dan"}],"issued":{"date-parts":[["2010",1]]}}}],"schema":"https://github.com/citation-style-language/schema/raw/master/csl-citation.json"} </w:instrText>
      </w:r>
      <w:r w:rsidRPr="001B39C5">
        <w:fldChar w:fldCharType="separate"/>
      </w:r>
      <w:r w:rsidRPr="00413FEF">
        <w:rPr>
          <w:noProof/>
        </w:rPr>
        <w:t>Kahan</w:t>
      </w:r>
      <w:r w:rsidR="00F94FA5">
        <w:rPr>
          <w:noProof/>
        </w:rPr>
        <w:t>,</w:t>
      </w:r>
      <w:r w:rsidRPr="00413FEF">
        <w:rPr>
          <w:noProof/>
        </w:rPr>
        <w:t xml:space="preserve"> 2010)</w:t>
      </w:r>
      <w:r w:rsidRPr="001B39C5">
        <w:fldChar w:fldCharType="end"/>
      </w:r>
      <w:r w:rsidRPr="00413FEF">
        <w:t>.</w:t>
      </w:r>
      <w:r w:rsidR="00A26418">
        <w:rPr>
          <w:rStyle w:val="FootnoteReference"/>
        </w:rPr>
        <w:footnoteReference w:id="15"/>
      </w:r>
      <w:r w:rsidR="00F94FA5">
        <w:t xml:space="preserve"> </w:t>
      </w:r>
    </w:p>
    <w:p w14:paraId="65022B43" w14:textId="796694D5" w:rsidR="006A1884" w:rsidRPr="00F94FA5" w:rsidRDefault="006A1884" w:rsidP="004756F6">
      <w:pPr>
        <w:pStyle w:val="ListParagraph"/>
        <w:numPr>
          <w:ilvl w:val="0"/>
          <w:numId w:val="1"/>
        </w:numPr>
        <w:spacing w:after="240" w:line="360" w:lineRule="auto"/>
        <w:rPr>
          <w:rFonts w:ascii="Times New Roman" w:hAnsi="Times New Roman" w:cs="Times New Roman"/>
          <w:i/>
          <w:iCs/>
        </w:rPr>
      </w:pPr>
      <w:r w:rsidRPr="00413FEF">
        <w:rPr>
          <w:rFonts w:ascii="Times New Roman" w:hAnsi="Times New Roman" w:cs="Times New Roman"/>
          <w:i/>
          <w:iCs/>
        </w:rPr>
        <w:t xml:space="preserve">The </w:t>
      </w:r>
      <w:r w:rsidR="00F94FA5">
        <w:rPr>
          <w:rFonts w:ascii="Times New Roman" w:hAnsi="Times New Roman" w:cs="Times New Roman"/>
          <w:i/>
          <w:iCs/>
        </w:rPr>
        <w:t>P</w:t>
      </w:r>
      <w:r w:rsidRPr="00413FEF">
        <w:rPr>
          <w:rFonts w:ascii="Times New Roman" w:hAnsi="Times New Roman" w:cs="Times New Roman"/>
          <w:i/>
          <w:iCs/>
        </w:rPr>
        <w:t xml:space="preserve">lace of </w:t>
      </w:r>
      <w:r w:rsidR="00F94FA5">
        <w:rPr>
          <w:rFonts w:ascii="Times New Roman" w:hAnsi="Times New Roman" w:cs="Times New Roman"/>
          <w:i/>
          <w:iCs/>
          <w:lang w:val="en-GB"/>
        </w:rPr>
        <w:t>D</w:t>
      </w:r>
      <w:r w:rsidRPr="00413FEF">
        <w:rPr>
          <w:rFonts w:ascii="Times New Roman" w:hAnsi="Times New Roman" w:cs="Times New Roman"/>
          <w:i/>
          <w:iCs/>
          <w:lang w:val="en-GB"/>
        </w:rPr>
        <w:t>istrust</w:t>
      </w:r>
    </w:p>
    <w:p w14:paraId="50061809" w14:textId="1C250FE6" w:rsidR="006A1884" w:rsidRPr="00413FEF" w:rsidRDefault="006A1884" w:rsidP="00B25FEB">
      <w:pPr>
        <w:spacing w:line="360" w:lineRule="auto"/>
        <w:ind w:firstLine="720"/>
      </w:pPr>
      <w:r w:rsidRPr="00413FEF">
        <w:t>So far</w:t>
      </w:r>
      <w:r w:rsidR="00F94FA5">
        <w:t>,</w:t>
      </w:r>
      <w:r w:rsidRPr="00413FEF">
        <w:t xml:space="preserve"> we have </w:t>
      </w:r>
      <w:r w:rsidR="00F94FA5">
        <w:t xml:space="preserve">discussed </w:t>
      </w:r>
      <w:r w:rsidRPr="00413FEF">
        <w:t xml:space="preserve">distrust as a problem, mostly a result of inequality or oppression, with worrying implications for trust in experts. Trust, furthermore, is a form of </w:t>
      </w:r>
      <w:r w:rsidRPr="00413FEF">
        <w:lastRenderedPageBreak/>
        <w:t>recognition and respect, and misplaced distrust comes at epistemic</w:t>
      </w:r>
      <w:r w:rsidR="00B967DC" w:rsidRPr="00413FEF">
        <w:t>, social,</w:t>
      </w:r>
      <w:r w:rsidRPr="00413FEF">
        <w:t xml:space="preserve"> and moral costs (see </w:t>
      </w:r>
      <w:r w:rsidRPr="001B39C5">
        <w:fldChar w:fldCharType="begin"/>
      </w:r>
      <w:r w:rsidRPr="00413FEF">
        <w:instrText xml:space="preserve"> ADDIN ZOTERO_ITEM CSL_CITATION {"citationID":"mS958HgT","properties":{"formattedCitation":"(Jones, 2013)","plainCitation":"(Jones, 2013)","dontUpdate":true,"noteIndex":0},"citationItems":[{"id":369,"uris":["http://zotero.org/users/local/5grjdT5j/items/9HJDPZGX"],"uri":["http://zotero.org/users/local/5grjdT5j/items/9HJDPZGX"],"itemData":{"id":369,"type":"article-journal","abstract":"Authors: Karen Jones","container-title":"READING ONORA O'NEILL","language":"en","source":"findanexpert.unimelb.edu.au","title":"DISTRUSTING THE TRUSTWORTHY","URL":"/scholarlywork/732768-distrusting-the-trustworthy","author":[{"family":"Jones","given":"Karen"}],"accessed":{"date-parts":[["2021",4,18]]},"issued":{"date-parts":[["2013"]]}}}],"schema":"https://github.com/citation-style-language/schema/raw/master/csl-citation.json"} </w:instrText>
      </w:r>
      <w:r w:rsidRPr="001B39C5">
        <w:fldChar w:fldCharType="separate"/>
      </w:r>
      <w:r w:rsidRPr="00413FEF">
        <w:t>Jones, 2013)</w:t>
      </w:r>
      <w:r w:rsidRPr="001B39C5">
        <w:fldChar w:fldCharType="end"/>
      </w:r>
      <w:r w:rsidRPr="00413FEF">
        <w:t>. But there are cases where distrust is not only epistemically</w:t>
      </w:r>
      <w:r w:rsidR="00F94FA5">
        <w:t>,</w:t>
      </w:r>
      <w:r w:rsidRPr="00413FEF">
        <w:t xml:space="preserve"> but </w:t>
      </w:r>
      <w:r w:rsidR="00F94FA5">
        <w:t xml:space="preserve">also </w:t>
      </w:r>
      <w:r w:rsidRPr="00413FEF">
        <w:t>morally justified.</w:t>
      </w:r>
      <w:r w:rsidR="00A26418">
        <w:rPr>
          <w:rStyle w:val="FootnoteReference"/>
        </w:rPr>
        <w:footnoteReference w:id="16"/>
      </w:r>
      <w:r w:rsidRPr="00413FEF">
        <w:t xml:space="preserve"> </w:t>
      </w:r>
    </w:p>
    <w:p w14:paraId="49737DE0" w14:textId="54DFA945" w:rsidR="006A1884" w:rsidRPr="00413FEF" w:rsidRDefault="006A1884" w:rsidP="00B25FEB">
      <w:pPr>
        <w:spacing w:line="360" w:lineRule="auto"/>
        <w:ind w:firstLine="720"/>
      </w:pPr>
      <w:r w:rsidRPr="00413FEF">
        <w:t>Distrust may be well placed exactly when trust is demanded</w:t>
      </w:r>
      <w:r w:rsidR="00496E88" w:rsidRPr="00413FEF">
        <w:t xml:space="preserve"> vocally and with great insistence</w:t>
      </w:r>
      <w:r w:rsidR="0005476A">
        <w:t>—</w:t>
      </w:r>
      <w:r w:rsidRPr="00413FEF">
        <w:t xml:space="preserve">there is something suspicious about the desire to be trusted. This is corroborated by the fact that, as Becker has observed in the case of political trust, </w:t>
      </w:r>
    </w:p>
    <w:p w14:paraId="13A152F0" w14:textId="236D972E" w:rsidR="006A1884" w:rsidRPr="00413FEF" w:rsidRDefault="006A1884" w:rsidP="007F71F4">
      <w:pPr>
        <w:spacing w:line="360" w:lineRule="auto"/>
        <w:ind w:left="720"/>
      </w:pPr>
      <w:r w:rsidRPr="00413FEF">
        <w:t>Modern dictators … have often exhibited obsessive concern for maintaining the credulity and dependence of their citizens and civil servants</w:t>
      </w:r>
      <w:r w:rsidR="00B967DC" w:rsidRPr="00413FEF">
        <w:t>…</w:t>
      </w:r>
      <w:r w:rsidRPr="00413FEF">
        <w:t xml:space="preserve"> By contrast, the ruling elites in liberal democracies and open-market economies seem able to tolerate a great deal of incredulity in their citizenries (</w:t>
      </w:r>
      <w:r w:rsidR="0005476A">
        <w:t xml:space="preserve">Becker, </w:t>
      </w:r>
      <w:r w:rsidRPr="00413FEF">
        <w:t>1996</w:t>
      </w:r>
      <w:r w:rsidR="0005476A">
        <w:t>, p.</w:t>
      </w:r>
      <w:r w:rsidRPr="00413FEF">
        <w:t xml:space="preserve"> 60). </w:t>
      </w:r>
    </w:p>
    <w:p w14:paraId="14D4E297" w14:textId="0B0320A8" w:rsidR="006A1884" w:rsidRPr="00413FEF" w:rsidRDefault="006A1884" w:rsidP="007F71F4">
      <w:pPr>
        <w:spacing w:line="360" w:lineRule="auto"/>
      </w:pPr>
      <w:r w:rsidRPr="00413FEF">
        <w:t>This seems to suggest, to generali</w:t>
      </w:r>
      <w:r w:rsidR="00454630">
        <w:t>z</w:t>
      </w:r>
      <w:r w:rsidRPr="00413FEF">
        <w:t>e, that the greater the demand for trust</w:t>
      </w:r>
      <w:r w:rsidR="0005476A">
        <w:t>—</w:t>
      </w:r>
      <w:r w:rsidRPr="00413FEF">
        <w:t>especially when it is not accompanied by trust in the other party</w:t>
      </w:r>
      <w:r w:rsidR="0005476A">
        <w:t>—</w:t>
      </w:r>
      <w:r w:rsidRPr="00413FEF">
        <w:t xml:space="preserve">the more justified the distrust. There are also cases in which trust is forced, or is less freely given than in other situations. This could be applied to the question of climate change, at least whenever the public is convinced of the urgency and seriousness of the threat. </w:t>
      </w:r>
    </w:p>
    <w:p w14:paraId="46056989" w14:textId="5E09E819" w:rsidR="006A1884" w:rsidRPr="00413FEF" w:rsidRDefault="006A1884" w:rsidP="00AE68D7">
      <w:pPr>
        <w:spacing w:line="360" w:lineRule="auto"/>
      </w:pPr>
      <w:r w:rsidRPr="00413FEF">
        <w:tab/>
      </w:r>
      <w:r w:rsidRPr="001B39C5">
        <w:fldChar w:fldCharType="begin"/>
      </w:r>
      <w:r w:rsidRPr="00413FEF">
        <w:instrText xml:space="preserve"> ADDIN ZOTERO_ITEM CSL_CITATION {"citationID":"oEmHtBR1","properties":{"formattedCitation":"(Krishnamurthy, 2015)","plainCitation":"(Krishnamurthy, 2015)","dontUpdate":true,"noteIndex":0},"citationItems":[{"id":293,"uris":["http://zotero.org/users/local/5grjdT5j/items/GW9QFEF7"],"uri":["http://zotero.org/users/local/5grjdT5j/items/GW9QFEF7"],"itemData":{"id":293,"type":"article-journal","container-title":"The Monist","DOI":"10.1093/monist/onv020","issue":"4","note":"publisher: Oxford University Press (Oup)","page":"391–406","source":"PhilPapers","title":"Tyranny and the Democratic Value of Distrust","volume":"98","author":[{"family":"Krishnamurthy","given":"Meena"}],"issued":{"date-parts":[["2015"]]}}}],"schema":"https://github.com/citation-style-language/schema/raw/master/csl-citation.json"} </w:instrText>
      </w:r>
      <w:r w:rsidRPr="001B39C5">
        <w:fldChar w:fldCharType="separate"/>
      </w:r>
      <w:r w:rsidRPr="00413FEF">
        <w:t>Meena Krishnamurthy</w:t>
      </w:r>
      <w:r w:rsidRPr="001B39C5">
        <w:fldChar w:fldCharType="end"/>
      </w:r>
      <w:r w:rsidRPr="00413FEF">
        <w:t xml:space="preserve"> has argued that distrust not only can be justified, but </w:t>
      </w:r>
      <w:r w:rsidRPr="00413FEF">
        <w:rPr>
          <w:i/>
          <w:iCs/>
        </w:rPr>
        <w:t>valuable</w:t>
      </w:r>
      <w:r w:rsidRPr="00413FEF">
        <w:t xml:space="preserve"> in a democracy. Taking as her example the Black Civil Rights movement in </w:t>
      </w:r>
      <w:r w:rsidR="00CA655D">
        <w:t>the United States</w:t>
      </w:r>
      <w:r w:rsidRPr="00413FEF">
        <w:t xml:space="preserve">, she suggests that it was distrust that was central to Martin Luther Kings’ actions and the building of  a less oppressive system. The value of distrust, Krishnamurthy argues, lies in its </w:t>
      </w:r>
      <w:r w:rsidR="00CA655D">
        <w:t>“</w:t>
      </w:r>
      <w:r w:rsidRPr="00413FEF">
        <w:t>tendency to bring about justice by tempering tyranny</w:t>
      </w:r>
      <w:r w:rsidR="00CA655D">
        <w:t>”</w:t>
      </w:r>
      <w:r w:rsidRPr="00413FEF">
        <w:t xml:space="preserve"> (</w:t>
      </w:r>
      <w:r w:rsidR="00CA655D">
        <w:t xml:space="preserve">Krishnamurthy, 2015, p. </w:t>
      </w:r>
      <w:r w:rsidRPr="00413FEF">
        <w:t>400). In the case she examines, distrust led to more careful but also more forceful and creative action, as well as the creation of a system of checks and balances (through the Constitution and Bill of Rights) to prevent abuses of power.</w:t>
      </w:r>
    </w:p>
    <w:p w14:paraId="58AE8CD4" w14:textId="560A27F5" w:rsidR="006A1884" w:rsidRPr="00413FEF" w:rsidRDefault="006A1884" w:rsidP="00B2506B">
      <w:pPr>
        <w:spacing w:line="360" w:lineRule="auto"/>
        <w:ind w:firstLine="720"/>
      </w:pPr>
      <w:r w:rsidRPr="00413FEF">
        <w:t>Within democratic societies, distrust may arise appropriately in response to power relationships</w:t>
      </w:r>
      <w:r w:rsidR="00A26E26">
        <w:t>,</w:t>
      </w:r>
      <w:r w:rsidRPr="00413FEF">
        <w:t xml:space="preserve"> but also in response to disagreements about values. As Philip </w:t>
      </w:r>
      <w:r w:rsidRPr="001B39C5">
        <w:fldChar w:fldCharType="begin"/>
      </w:r>
      <w:r w:rsidRPr="00413FEF">
        <w:instrText xml:space="preserve"> ADDIN ZOTERO_ITEM CSL_CITATION {"citationID":"OP4jhOB5","properties":{"formattedCitation":"(Kitcher, 2011)","plainCitation":"(Kitcher, 2011)","dontUpdate":true,"noteIndex":0},"citationItems":[{"id":400,"uris":["http://zotero.org/users/local/5grjdT5j/items/PIGLNGKK"],"uri":["http://zotero.org/users/local/5grjdT5j/items/PIGLNGKK"],"itemData":{"id":400,"type":"book","abstract":"In this successor to his pioneering Science, Truth, and Democracy, the author revisits the topic explored in his previous work-namely, the challenges of integrating science, the most successful knowledge-generating system of all time, with the problems of democracy. But in this new work, the author goes far beyond that earlier book in studying places at which the practice of science fails to answer social needs. He considers a variety of examples of pressing concern, ranging from climate change to religiously inspired constraints on biomedical research to the neglect of diseases that kill millions of children annually, analyzing the sources of trouble. He shows the fallacies of thinking that democracy always requires public debate of issues most people cannot comprehend, and argues that properly constituted expertise is essential to genuine democracy. No previous book has treated the place of science in democratic society so comprehensively and systematically, with attention to different aspects of science and to pressing problems of our times.","event-place":"Amherst, N.Y","ISBN":"978-1-61614-407-4","language":"English","number-of-pages":"272","publisher":"Prometheus","publisher-place":"Amherst, N.Y","source":"Amazon","title":"Science in a Democratic Society","author":[{"family":"Kitcher","given":"Philip"}],"issued":{"date-parts":[["2011",8,23]]}}}],"schema":"https://github.com/citation-style-language/schema/raw/master/csl-citation.json"} </w:instrText>
      </w:r>
      <w:r w:rsidRPr="001B39C5">
        <w:fldChar w:fldCharType="separate"/>
      </w:r>
      <w:r w:rsidRPr="00413FEF">
        <w:rPr>
          <w:noProof/>
        </w:rPr>
        <w:t>Kitcher (2011)</w:t>
      </w:r>
      <w:r w:rsidRPr="001B39C5">
        <w:fldChar w:fldCharType="end"/>
      </w:r>
      <w:r w:rsidRPr="00413FEF">
        <w:t xml:space="preserve"> argues, distrust in scientists may be the result of a genuine difference between the public and the experts about the values that shaped scientific research. Similarly, Maya </w:t>
      </w:r>
      <w:r w:rsidRPr="001B39C5">
        <w:fldChar w:fldCharType="begin"/>
      </w:r>
      <w:r w:rsidRPr="00413FEF">
        <w:instrText xml:space="preserve"> ADDIN ZOTERO_ITEM CSL_CITATION {"citationID":"aj0er4sJ","properties":{"formattedCitation":"(Goldenberg, 2016)","plainCitation":"(Goldenberg, 2016)","dontUpdate":true,"noteIndex":0},"citationItems":[{"id":402,"uris":["http://zotero.org/users/local/5grjdT5j/items/BX6QGR5Z"],"uri":["http://zotero.org/users/local/5grjdT5j/items/BX6QGR5Z"],"itemData":{"id":402,"type":"article-journal","abstract":"Public resistance towards scientific claims regarding vaccine safety is widely thought to stem from public misunderstanding (or ignorance) of science. Repeated failures to alleviate this ignorance make the problem of vaccine hesitancy seem intractable. I challenge this presumption of knowledge deficit and reinterpret vaccine hesitancy to be a problem of public mistrust of scientific experts and institutions. This finding invites new corrective measures: self-scrutiny by our scientific and governmental bodies regarding their own credibility as well as investment in dialogical rather than didactic communicative outreach to vaccine hesitant members of the public. Without the oppositional framing of the problem as a conflict of science versus ignorance, there is more room for conciliation of public health agendas with the concerns of the lay public.","container-title":"Perspectives on Science","DOI":"10.1162/POSC_a_00223","ISSN":"1063-6145","issue":"5","journalAbbreviation":"Perspectives on Science","page":"552-581","source":"Silverchair","title":"Public Misunderstanding of Science? Reframing the Problem of Vaccine Hesitancy","title-short":"Public Misunderstanding of Science?","volume":"24","author":[{"family":"Goldenberg","given":"Maya J."}],"issued":{"date-parts":[["2016",9,9]]}}}],"schema":"https://github.com/citation-style-language/schema/raw/master/csl-citation.json"} </w:instrText>
      </w:r>
      <w:r w:rsidRPr="001B39C5">
        <w:fldChar w:fldCharType="separate"/>
      </w:r>
      <w:r w:rsidRPr="00413FEF">
        <w:t>Goldenberg (2016)</w:t>
      </w:r>
      <w:r w:rsidRPr="001B39C5">
        <w:fldChar w:fldCharType="end"/>
      </w:r>
      <w:r w:rsidRPr="00413FEF">
        <w:t xml:space="preserve"> refuses to take a paternalistic approach to the question of trust in expert</w:t>
      </w:r>
      <w:r w:rsidR="00A26E26">
        <w:t>s</w:t>
      </w:r>
      <w:r w:rsidRPr="00413FEF">
        <w:t xml:space="preserve"> in the context of vaccine hesitancy, arguing that hesitancy may not be driven solely by ignorance and stubbornness, but grounded in the failure of expert</w:t>
      </w:r>
      <w:r w:rsidR="00A26E26">
        <w:t>s</w:t>
      </w:r>
      <w:r w:rsidRPr="00413FEF">
        <w:t xml:space="preserve"> to address </w:t>
      </w:r>
      <w:r w:rsidR="004B1906" w:rsidRPr="00413FEF">
        <w:t xml:space="preserve">parents’  </w:t>
      </w:r>
      <w:r w:rsidRPr="00413FEF">
        <w:t>concerns about their children</w:t>
      </w:r>
      <w:r w:rsidR="00A26E26">
        <w:t>’s health</w:t>
      </w:r>
      <w:r w:rsidRPr="00413FEF">
        <w:t xml:space="preserve">. Once again, in what is presented </w:t>
      </w:r>
      <w:r w:rsidR="004B1906" w:rsidRPr="00413FEF">
        <w:t xml:space="preserve">as a </w:t>
      </w:r>
      <w:r w:rsidRPr="00413FEF">
        <w:t xml:space="preserve">purely scientific question, different </w:t>
      </w:r>
      <w:r w:rsidRPr="00413FEF">
        <w:lastRenderedPageBreak/>
        <w:t>values, priorities</w:t>
      </w:r>
      <w:r w:rsidR="00A26E26">
        <w:t>,</w:t>
      </w:r>
      <w:r w:rsidRPr="00413FEF">
        <w:t xml:space="preserve"> and preferences are involved, and bringing them out may lead to a more respectful, but also more mutually trusting practice. For both Kitcher and Goldenberg, the fact that this type of value-based distrust exists calls for a more inclusive participation of the public in the workings of scientific research from the very</w:t>
      </w:r>
      <w:r w:rsidR="004B1906" w:rsidRPr="00413FEF">
        <w:t xml:space="preserve"> outset</w:t>
      </w:r>
      <w:r w:rsidRPr="00413FEF">
        <w:t>, including in a more transparent and open discussion of which values inform such research.</w:t>
      </w:r>
    </w:p>
    <w:p w14:paraId="3B5D759C" w14:textId="3D17BC13" w:rsidR="006A1884" w:rsidRPr="00413FEF" w:rsidRDefault="006A1884" w:rsidP="00B2506B">
      <w:pPr>
        <w:spacing w:line="360" w:lineRule="auto"/>
        <w:ind w:firstLine="720"/>
      </w:pPr>
      <w:r w:rsidRPr="00413FEF">
        <w:t>The strategy to build trust</w:t>
      </w:r>
      <w:r w:rsidR="00D22029">
        <w:t>—</w:t>
      </w:r>
      <w:r w:rsidRPr="00413FEF">
        <w:t xml:space="preserve">including </w:t>
      </w:r>
      <w:r w:rsidR="00D22029">
        <w:t>“</w:t>
      </w:r>
      <w:r w:rsidRPr="00413FEF">
        <w:t>social trust</w:t>
      </w:r>
      <w:r w:rsidR="00D22029">
        <w:t>”—</w:t>
      </w:r>
      <w:r w:rsidRPr="00413FEF">
        <w:t>based on transparency and collaboration, through collective reasoning about norms and how they are developed, has also been suggested in situations of oppression, e.g.</w:t>
      </w:r>
      <w:r w:rsidR="00D22029">
        <w:t>,</w:t>
      </w:r>
      <w:r w:rsidRPr="00413FEF">
        <w:t xml:space="preserve"> by Shay </w:t>
      </w:r>
      <w:r w:rsidRPr="001B39C5">
        <w:fldChar w:fldCharType="begin"/>
      </w:r>
      <w:r w:rsidRPr="00413FEF">
        <w:instrText xml:space="preserve"> ADDIN ZOTERO_ITEM CSL_CITATION {"citationID":"LQlOxDX7","properties":{"formattedCitation":"(Welch, 2013)","plainCitation":"(Welch, 2013)","dontUpdate":true,"noteIndex":0},"citationItems":[{"id":405,"uris":["http://zotero.org/users/local/5grjdT5j/items/EN8TP7FD"],"uri":["http://zotero.org/users/local/5grjdT5j/items/EN8TP7FD"],"itemData":{"id":405,"type":"article-journal","abstract":"I construct an analysis of social trust that attends distinctively to cooperation in social relations that has the capability to (begin to) counter the default social distrust obtained due to oppressive conditions via a form of collective reasoning. For social trust to overcome oppression it must be a normatively transparent form of trust. Transparent trust can counter the effects of oppression on social interaction and foster social cooperation by correcting unequal positions of social vulnerability and improving disparities in credibility resultant of oppression since collective reasoning in norm legitimization permits all individuals to participate in the process of self and other defining and the development of the concomitant norms that guide these processes.","container-title":"Critical Review of International Social and Political Philosophy","DOI":"10.1080/13698230.2011.597582","ISSN":"1369-8230","issue":"1","note":"publisher: Routledge\n_eprint: https://doi.org/10.1080/13698230.2011.597582","page":"45-64","source":"Taylor and Francis+NEJM","title":"Transparent trust and oppression","volume":"16","author":[{"family":"Welch","given":"Shay"}],"issued":{"date-parts":[["2013",1,1]]}}}],"schema":"https://github.com/citation-style-language/schema/raw/master/csl-citation.json"} </w:instrText>
      </w:r>
      <w:r w:rsidRPr="001B39C5">
        <w:fldChar w:fldCharType="separate"/>
      </w:r>
      <w:r w:rsidRPr="00413FEF">
        <w:t>Welch (2013)</w:t>
      </w:r>
      <w:r w:rsidRPr="001B39C5">
        <w:fldChar w:fldCharType="end"/>
      </w:r>
      <w:r w:rsidRPr="00413FEF">
        <w:t>. In some cases, however, these conversation</w:t>
      </w:r>
      <w:r w:rsidR="00D22029">
        <w:t>s</w:t>
      </w:r>
      <w:r w:rsidRPr="00413FEF">
        <w:t xml:space="preserve"> about values </w:t>
      </w:r>
      <w:r w:rsidR="00D22029">
        <w:t>aimed at</w:t>
      </w:r>
      <w:r w:rsidRPr="00413FEF">
        <w:t xml:space="preserve"> restor</w:t>
      </w:r>
      <w:r w:rsidR="00D22029">
        <w:t>ing</w:t>
      </w:r>
      <w:r w:rsidRPr="00413FEF">
        <w:t xml:space="preserve"> trust cannot </w:t>
      </w:r>
      <w:r w:rsidR="00D22029">
        <w:t>take place</w:t>
      </w:r>
      <w:r w:rsidRPr="00413FEF">
        <w:t xml:space="preserve"> because the moral positions involved are incommensurable. This is the case of distrust in science when it is based, or has historically been based, on sexism or racism (e.g.</w:t>
      </w:r>
      <w:r w:rsidR="00D22029">
        <w:t>,</w:t>
      </w:r>
      <w:r w:rsidRPr="00413FEF">
        <w:t xml:space="preserve"> the Tuskegee Experiment, see </w:t>
      </w:r>
      <w:r w:rsidRPr="001B39C5">
        <w:fldChar w:fldCharType="begin"/>
      </w:r>
      <w:r w:rsidRPr="00413FEF">
        <w:instrText xml:space="preserve"> ADDIN ZOTERO_ITEM CSL_CITATION {"citationID":"Q26emKqm","properties":{"formattedCitation":"(Thomas and Quinn, 1991)","plainCitation":"(Thomas and Quinn, 1991)","dontUpdate":true,"noteIndex":0},"citationItems":[{"id":409,"uris":["http://zotero.org/users/local/5grjdT5j/items/YH7FNWS4"],"uri":["http://zotero.org/users/local/5grjdT5j/items/YH7FNWS4"],"itemData":{"id":409,"type":"article-journal","abstract":"The Tuskegee study of untreated syphilis in the Negro male is the longest nontherapeutic experiment on human beings in medical history. The strategies used to recruit and retain participants were quite similar to those being advocated for HIV/AIDS prevention programs today. Almost 60 years after the study began, there remains a trail of distrust and suspicion that hampers HIV education efforts in Black communities. The AIDS epidemic has exposed the Tuskegee study as a historical marker for the legitimate discontent of Blacks with the public health system. The belief that AIDS is a form of genocide is rooted in a social context in which Black Americans, faced with persistent inequality, believe in conspiracy theories about Whites against Blacks. These theories range from the belief that the government promotes drug abuse in Black communities to the belief that HIV is a manmade weapon of racial warfare. An open and honest discussion of the Tuskegee Syphilis Study can facilitate the process of rebuilding trust between the Black community and public health authorities. This dialogue can contribute to the development of HIV education programs that are scientifically sound, culturally sensitive, and ethnically acceptable.","container-title":"American Journal of Public Health","DOI":"10.2105/AJPH.81.11.1498","ISSN":"0090-0036","issue":"11","journalAbbreviation":"Am J Public Health","note":"publisher: American Public Health Association","page":"1498-1505","source":"ajph.aphapublications.org (Atypon)","title":"The Tuskegee Syphilis Study, 1932 to 1972: implications for HIV education and AIDS risk education programs in the black community.","title-short":"The Tuskegee Syphilis Study, 1932 to 1972","volume":"81","author":[{"family":"Thomas","given":"S B"},{"family":"Quinn","given":"S C"}],"issued":{"date-parts":[["1991",11,1]]}}}],"schema":"https://github.com/citation-style-language/schema/raw/master/csl-citation.json"} </w:instrText>
      </w:r>
      <w:r w:rsidRPr="001B39C5">
        <w:fldChar w:fldCharType="separate"/>
      </w:r>
      <w:r w:rsidRPr="00413FEF">
        <w:t xml:space="preserve">Thomas </w:t>
      </w:r>
      <w:r w:rsidR="00D22029">
        <w:t>&amp;</w:t>
      </w:r>
      <w:r w:rsidRPr="00413FEF">
        <w:t>Quinn</w:t>
      </w:r>
      <w:r w:rsidR="00D22029">
        <w:t>,</w:t>
      </w:r>
      <w:r w:rsidRPr="00413FEF">
        <w:t xml:space="preserve"> 1991)</w:t>
      </w:r>
      <w:r w:rsidRPr="001B39C5">
        <w:fldChar w:fldCharType="end"/>
      </w:r>
      <w:r w:rsidRPr="00413FEF">
        <w:t xml:space="preserve">. </w:t>
      </w:r>
    </w:p>
    <w:p w14:paraId="23EF72F2" w14:textId="5F99993C" w:rsidR="006A1884" w:rsidRPr="00413FEF" w:rsidRDefault="006A1884" w:rsidP="00B70442">
      <w:pPr>
        <w:spacing w:line="360" w:lineRule="auto"/>
        <w:ind w:firstLine="720"/>
      </w:pPr>
      <w:r w:rsidRPr="00413FEF">
        <w:t xml:space="preserve">Exploring a rather under-discussed aspect of trust, Katherine </w:t>
      </w:r>
      <w:r w:rsidRPr="001B39C5">
        <w:fldChar w:fldCharType="begin"/>
      </w:r>
      <w:r w:rsidRPr="00413FEF">
        <w:instrText xml:space="preserve"> ADDIN ZOTERO_ITEM CSL_CITATION {"citationID":"DH1ShCsY","properties":{"formattedCitation":"(Furman, 2020)","plainCitation":"(Furman, 2020)","dontUpdate":true,"noteIndex":0},"citationItems":[{"id":238,"uris":["http://zotero.org/users/local/5grjdT5j/items/QD9AWAF2"],"uri":["http://zotero.org/users/local/5grjdT5j/items/QD9AWAF2"],"itemData":{"id":238,"type":"article-journal","abstract":"In our interactions with science, we are often vulnerable; we do not have complete control of the situation and there is a risk that we, or those we love, might be harmed. This is not an emotionally neutral experience. There has been an outpouring of philosophical literature on trust in science as the consequences of distrust become clear. This has exclusively focussed on epistemic and value-based dimensions of trust. In this paper, I advocate for taking the emotional aspects of distrust in science seriously.","container-title":"International Journal of Philosophical Studies","DOI":"10.1080/09672559.2020.1846281","ISSN":"0967-2559","issue":"5","note":"publisher: Routledge\n_eprint: https://doi.org/10.1080/09672559.2020.1846281","page":"713-730","source":"Taylor and Francis+NEJM","title":"Emotions and Distrust in Science","volume":"28","author":[{"family":"Furman","given":"Katherine"}],"issued":{"date-parts":[["2020",10,19]]}}}],"schema":"https://github.com/citation-style-language/schema/raw/master/csl-citation.json"} </w:instrText>
      </w:r>
      <w:r w:rsidRPr="001B39C5">
        <w:fldChar w:fldCharType="separate"/>
      </w:r>
      <w:r w:rsidRPr="00413FEF">
        <w:t>Furman (2020)</w:t>
      </w:r>
      <w:r w:rsidRPr="001B39C5">
        <w:fldChar w:fldCharType="end"/>
      </w:r>
      <w:r w:rsidRPr="00413FEF">
        <w:t xml:space="preserve"> looks at the affective dimension of trust and distrust in science. She argues that epistemic and value</w:t>
      </w:r>
      <w:r w:rsidR="00295699">
        <w:t>-</w:t>
      </w:r>
      <w:r w:rsidRPr="00413FEF">
        <w:t xml:space="preserve">based explanations of distrust are important but insufficient, and that emotions often play an important role in understanding the dynamics of distrust. </w:t>
      </w:r>
      <w:r w:rsidR="006211E3" w:rsidRPr="00413FEF">
        <w:t xml:space="preserve">Exploring </w:t>
      </w:r>
      <w:r w:rsidRPr="00413FEF">
        <w:t>cases</w:t>
      </w:r>
      <w:r w:rsidR="006211E3" w:rsidRPr="00413FEF">
        <w:t xml:space="preserve"> of</w:t>
      </w:r>
      <w:r w:rsidRPr="00413FEF">
        <w:t xml:space="preserve"> medical </w:t>
      </w:r>
      <w:r w:rsidR="006211E3" w:rsidRPr="00413FEF">
        <w:t xml:space="preserve">abuse </w:t>
      </w:r>
      <w:r w:rsidRPr="00413FEF">
        <w:t xml:space="preserve">in South and West Africa, Furman </w:t>
      </w:r>
      <w:r w:rsidR="006211E3" w:rsidRPr="00413FEF">
        <w:t xml:space="preserve">shows how emotions </w:t>
      </w:r>
      <w:r w:rsidRPr="00413FEF">
        <w:t>accompany distrust (fear, frustration) and pre-date it and exacerbate it (the anxiety associated with poverty and discrimination)</w:t>
      </w:r>
      <w:r w:rsidR="006211E3" w:rsidRPr="00413FEF">
        <w:t xml:space="preserve">, explaining the </w:t>
      </w:r>
      <w:r w:rsidRPr="00413FEF">
        <w:t>disempowerment that comes with</w:t>
      </w:r>
      <w:r w:rsidR="006211E3" w:rsidRPr="00413FEF">
        <w:t xml:space="preserve"> it</w:t>
      </w:r>
      <w:r w:rsidRPr="00413FEF">
        <w:t xml:space="preserve">. Furman also offers a suggestion for how to overcome distrust in cases such as these, where there are good political and historical reasons for distrust in experts, </w:t>
      </w:r>
      <w:r w:rsidR="004B1906" w:rsidRPr="00413FEF">
        <w:t>but</w:t>
      </w:r>
      <w:r w:rsidRPr="00413FEF">
        <w:t xml:space="preserve"> </w:t>
      </w:r>
      <w:r w:rsidR="00295699">
        <w:t xml:space="preserve">where such </w:t>
      </w:r>
      <w:r w:rsidRPr="00413FEF">
        <w:t>distrust is detrimental to the agents</w:t>
      </w:r>
      <w:r w:rsidR="00295699">
        <w:t xml:space="preserve"> themselves</w:t>
      </w:r>
      <w:r w:rsidRPr="00413FEF">
        <w:t xml:space="preserve">. </w:t>
      </w:r>
      <w:r w:rsidR="006211E3" w:rsidRPr="00413FEF">
        <w:t>Two</w:t>
      </w:r>
      <w:r w:rsidRPr="00413FEF">
        <w:t xml:space="preserve"> key asymmetries</w:t>
      </w:r>
      <w:r w:rsidR="00545232">
        <w:t>—</w:t>
      </w:r>
      <w:r w:rsidRPr="00413FEF">
        <w:t>power and cost</w:t>
      </w:r>
      <w:r w:rsidR="00545232">
        <w:t>—</w:t>
      </w:r>
      <w:r w:rsidRPr="00413FEF">
        <w:t xml:space="preserve">need to be addressed. </w:t>
      </w:r>
      <w:r w:rsidR="009C6CF7" w:rsidRPr="00413FEF">
        <w:t>Based on the</w:t>
      </w:r>
      <w:r w:rsidRPr="00413FEF">
        <w:t xml:space="preserve"> example of the doctor from Doctors without Borders (narrated in </w:t>
      </w:r>
      <w:r w:rsidRPr="001B39C5">
        <w:fldChar w:fldCharType="begin"/>
      </w:r>
      <w:r w:rsidRPr="00413FEF">
        <w:instrText xml:space="preserve"> ADDIN ZOTERO_ITEM CSL_CITATION {"citationID":"cPSS0P4Q","properties":{"formattedCitation":"(Steinberg, 2017)","plainCitation":"(Steinberg, 2017)","dontUpdate":true,"noteIndex":0},"citationItems":[{"id":418,"uris":["http://zotero.org/users/local/5grjdT5j/items/AVM9EG4P"],"uri":["http://zotero.org/users/local/5grjdT5j/items/AVM9EG4P"],"itemData":{"id":418,"type":"article-journal","abstract":"Antiretroviral treatment (ART) has become a ubiquitous feature of South African life. By early 2015, three million people had begun ART in South Africa. In the light of widespread positive responses to the availability of treatment, early ethnographies that stressed suspicion, fear, and resentment need to be revisited. In this article, I re-examine my own data on an early encounter between the technologies of ART and the population of a rural district in the Eastern Cape province. I also return to Didier Fassin's ethnography in which he placed ordinary people's responses to AIDS in a history of suspicion and resentment. The article focuses in particular on the support groups that ART users formed and argues that they were the sites of creative responses to ART in which ordinary people, primarily women, bent the new technologies and esoteric languages they encountered to an array of endogenous purposes. The article concludes that ART was incorporated into a politics of hopeful expectation rather than a politics of resentment.","container-title":"African Affairs","DOI":"10.1093/afraf/adw026","ISSN":"0001-9909","issue":"462","journalAbbreviation":"African Affairs","page":"60-79","source":"Silverchair","title":"Re-examining the early years of anti-retroviral treatment in South Africa: A taste for medicine","title-short":"Re-examining the early years of anti-retroviral treatment in South Africa","volume":"116","author":[{"family":"Steinberg","given":"Jonny"}],"issued":{"date-parts":[["2017",1,1]]}}}],"schema":"https://github.com/citation-style-language/schema/raw/master/csl-citation.json"} </w:instrText>
      </w:r>
      <w:r w:rsidRPr="001B39C5">
        <w:fldChar w:fldCharType="separate"/>
      </w:r>
      <w:r w:rsidRPr="00413FEF">
        <w:t>Steinberg</w:t>
      </w:r>
      <w:r w:rsidR="00545232">
        <w:t>,</w:t>
      </w:r>
      <w:r w:rsidRPr="00413FEF">
        <w:t xml:space="preserve"> 2017)</w:t>
      </w:r>
      <w:r w:rsidRPr="001B39C5">
        <w:fldChar w:fldCharType="end"/>
      </w:r>
      <w:r w:rsidRPr="00413FEF">
        <w:t xml:space="preserve"> in South Africa, who jumped on a table and drew his own blood to show that the HIV tests he was offering were safe</w:t>
      </w:r>
      <w:r w:rsidR="009C6CF7" w:rsidRPr="00413FEF">
        <w:t xml:space="preserve">, Furman shows how </w:t>
      </w:r>
      <w:r w:rsidRPr="00413FEF">
        <w:t xml:space="preserve">power and cost asymmetries </w:t>
      </w:r>
      <w:r w:rsidR="009C6CF7" w:rsidRPr="00413FEF">
        <w:t xml:space="preserve">can be </w:t>
      </w:r>
      <w:r w:rsidRPr="00413FEF">
        <w:t xml:space="preserve">diminished, </w:t>
      </w:r>
      <w:r w:rsidR="009C6CF7" w:rsidRPr="00413FEF">
        <w:t xml:space="preserve">so that </w:t>
      </w:r>
      <w:r w:rsidRPr="00413FEF">
        <w:t xml:space="preserve">the relative affective component </w:t>
      </w:r>
      <w:r w:rsidR="009C6CF7" w:rsidRPr="00413FEF">
        <w:t xml:space="preserve">is also </w:t>
      </w:r>
      <w:r w:rsidRPr="00413FEF">
        <w:t>rebalanced.</w:t>
      </w:r>
    </w:p>
    <w:p w14:paraId="67CA33B0" w14:textId="3D19B509" w:rsidR="008A7BC8" w:rsidRPr="00413FEF" w:rsidRDefault="008A7BC8" w:rsidP="008A7BC8">
      <w:pPr>
        <w:spacing w:line="360" w:lineRule="auto"/>
        <w:ind w:firstLine="720"/>
      </w:pPr>
      <w:r w:rsidRPr="00413FEF">
        <w:t>Distrust, like trust, can have deeper roots than</w:t>
      </w:r>
      <w:r w:rsidR="00545232">
        <w:t xml:space="preserve"> it</w:t>
      </w:r>
      <w:r w:rsidRPr="00413FEF">
        <w:t xml:space="preserve"> first appear</w:t>
      </w:r>
      <w:r w:rsidR="00545232">
        <w:t>s</w:t>
      </w:r>
      <w:r w:rsidRPr="00413FEF">
        <w:t xml:space="preserve">, and </w:t>
      </w:r>
      <w:r w:rsidR="00545232">
        <w:t xml:space="preserve">may </w:t>
      </w:r>
      <w:r w:rsidRPr="00413FEF">
        <w:t xml:space="preserve">be grounded in social and power dynamics that fundamentally determine the way expert information is shaped and received. Distrust, in these cases, is not necessarily a problem; in fact, it can point toward inequalities that influence epistemic practices, and that need to be rectified. For this reason, we have argued, in cases where trust in experts is urgently called for, it is not sufficient to clarify information, share more data, and demonstrate experts’ honesty and reliability. What is needed, we suggest, is a larger scale intervention to foster what Annette </w:t>
      </w:r>
      <w:proofErr w:type="spellStart"/>
      <w:r w:rsidRPr="00413FEF">
        <w:t>Baeir</w:t>
      </w:r>
      <w:proofErr w:type="spellEnd"/>
      <w:r w:rsidRPr="00413FEF">
        <w:t xml:space="preserve"> (1986) ha</w:t>
      </w:r>
      <w:r w:rsidR="009C6CF7" w:rsidRPr="00413FEF">
        <w:t>s</w:t>
      </w:r>
      <w:r w:rsidRPr="00413FEF">
        <w:t xml:space="preserve">  called a </w:t>
      </w:r>
      <w:r w:rsidR="00663BA4">
        <w:t>“</w:t>
      </w:r>
      <w:r w:rsidRPr="00413FEF">
        <w:t>climate of trust</w:t>
      </w:r>
      <w:r w:rsidR="00663BA4">
        <w:t>,”</w:t>
      </w:r>
      <w:r w:rsidRPr="00413FEF">
        <w:t xml:space="preserve"> in which the costs and vulnerabilities of trust are </w:t>
      </w:r>
      <w:r w:rsidRPr="00413FEF">
        <w:lastRenderedPageBreak/>
        <w:t xml:space="preserve">shared, and which enables and encourages the participation of various groups, </w:t>
      </w:r>
      <w:r w:rsidR="009C6CF7" w:rsidRPr="00413FEF">
        <w:t>with</w:t>
      </w:r>
      <w:r w:rsidRPr="00413FEF">
        <w:t xml:space="preserve"> differing values, </w:t>
      </w:r>
      <w:r w:rsidR="009C6CF7" w:rsidRPr="00413FEF">
        <w:t>both</w:t>
      </w:r>
      <w:r w:rsidRPr="00413FEF">
        <w:t xml:space="preserve"> in the production of knowledge </w:t>
      </w:r>
      <w:r w:rsidR="009C6CF7" w:rsidRPr="00413FEF">
        <w:t xml:space="preserve">and </w:t>
      </w:r>
      <w:r w:rsidRPr="00413FEF">
        <w:t xml:space="preserve">in the </w:t>
      </w:r>
      <w:r w:rsidR="009C6CF7" w:rsidRPr="00413FEF">
        <w:t>outcomes</w:t>
      </w:r>
      <w:r w:rsidRPr="00413FEF">
        <w:t xml:space="preserve"> of </w:t>
      </w:r>
      <w:r w:rsidR="00091137">
        <w:t>that</w:t>
      </w:r>
      <w:r w:rsidR="00091137" w:rsidRPr="00413FEF">
        <w:t xml:space="preserve"> </w:t>
      </w:r>
      <w:r w:rsidRPr="00413FEF">
        <w:t>knowledge which</w:t>
      </w:r>
      <w:r w:rsidR="001408FE">
        <w:t>—</w:t>
      </w:r>
      <w:r w:rsidRPr="00413FEF">
        <w:t>in the cases examined</w:t>
      </w:r>
      <w:r w:rsidR="001408FE">
        <w:t>—</w:t>
      </w:r>
      <w:r w:rsidR="00091137" w:rsidRPr="00413FEF">
        <w:t>ha</w:t>
      </w:r>
      <w:r w:rsidR="00091137">
        <w:t>ve</w:t>
      </w:r>
      <w:r w:rsidRPr="00413FEF">
        <w:t xml:space="preserve"> significant impacts on everyone involved.</w:t>
      </w:r>
    </w:p>
    <w:p w14:paraId="532DC9FE" w14:textId="77777777" w:rsidR="008A7BC8" w:rsidRPr="00413FEF" w:rsidRDefault="008A7BC8">
      <w:pPr>
        <w:spacing w:line="360" w:lineRule="auto"/>
        <w:rPr>
          <w:b/>
          <w:bCs/>
        </w:rPr>
      </w:pPr>
    </w:p>
    <w:p w14:paraId="6CFF9137" w14:textId="1E42FFE0" w:rsidR="006A1884" w:rsidRPr="00413FEF" w:rsidRDefault="001340DD" w:rsidP="004756F6">
      <w:pPr>
        <w:spacing w:line="360" w:lineRule="auto"/>
        <w:jc w:val="center"/>
        <w:rPr>
          <w:b/>
          <w:bCs/>
        </w:rPr>
      </w:pPr>
      <w:r w:rsidRPr="00413FEF">
        <w:rPr>
          <w:b/>
          <w:bCs/>
        </w:rPr>
        <w:t xml:space="preserve">Conclusion: </w:t>
      </w:r>
      <w:r w:rsidR="006A1884" w:rsidRPr="00413FEF">
        <w:rPr>
          <w:b/>
          <w:bCs/>
        </w:rPr>
        <w:t>Toward a Climate of Trust</w:t>
      </w:r>
    </w:p>
    <w:p w14:paraId="2E4435FC" w14:textId="77777777" w:rsidR="006A1884" w:rsidRPr="00413FEF" w:rsidRDefault="006A1884" w:rsidP="00F53CD6">
      <w:pPr>
        <w:spacing w:line="360" w:lineRule="auto"/>
        <w:ind w:firstLine="720"/>
        <w:rPr>
          <w:b/>
          <w:bCs/>
        </w:rPr>
      </w:pPr>
    </w:p>
    <w:p w14:paraId="5F15ABD1" w14:textId="26D89809" w:rsidR="006A1884" w:rsidRPr="00413FEF" w:rsidRDefault="006A1884" w:rsidP="00E869CB">
      <w:pPr>
        <w:spacing w:line="360" w:lineRule="auto"/>
        <w:ind w:firstLine="720"/>
      </w:pPr>
      <w:r w:rsidRPr="00413FEF">
        <w:t>The concerns regarding trust in experts</w:t>
      </w:r>
      <w:r w:rsidR="008A7BC8" w:rsidRPr="00413FEF">
        <w:t xml:space="preserve"> and its ethical implications</w:t>
      </w:r>
      <w:r w:rsidRPr="00413FEF">
        <w:t xml:space="preserve"> outlined above show how the question of trust in expert advice could be seen as a legitimate terrain of both normative and political contestation. To withhold trust in experts, particularly in the political domain, can be</w:t>
      </w:r>
      <w:r w:rsidR="00D87A89">
        <w:t>,</w:t>
      </w:r>
      <w:r w:rsidRPr="00413FEF">
        <w:t xml:space="preserve"> and often is</w:t>
      </w:r>
      <w:r w:rsidR="00D87A89">
        <w:t>,</w:t>
      </w:r>
      <w:r w:rsidRPr="00413FEF">
        <w:t xml:space="preserve"> a political act</w:t>
      </w:r>
      <w:r w:rsidR="00D87A89">
        <w:t>. However, it</w:t>
      </w:r>
      <w:r w:rsidRPr="00413FEF">
        <w:t xml:space="preserve"> should not be dismissed </w:t>
      </w:r>
      <w:r w:rsidR="00D87A89">
        <w:t xml:space="preserve">merely </w:t>
      </w:r>
      <w:r w:rsidRPr="00413FEF">
        <w:t xml:space="preserve">as a by-product of right-wing populism, even if in many </w:t>
      </w:r>
      <w:r w:rsidR="00D87A89">
        <w:t xml:space="preserve">recent </w:t>
      </w:r>
      <w:r w:rsidRPr="00413FEF">
        <w:t>instances</w:t>
      </w:r>
      <w:r w:rsidR="00D87A89">
        <w:t xml:space="preserve"> </w:t>
      </w:r>
      <w:r w:rsidRPr="00413FEF">
        <w:t xml:space="preserve">it has </w:t>
      </w:r>
      <w:r w:rsidR="00D87A89">
        <w:t>taken that form</w:t>
      </w:r>
      <w:r w:rsidRPr="00413FEF">
        <w:t>. The cumulative impact of the above considerations (a-e) is to demonstrate that there are legitimate grounds for scepticism toward experts, particularly in the context of the roles they assume in public life.</w:t>
      </w:r>
    </w:p>
    <w:p w14:paraId="39935005" w14:textId="7C2ACD34" w:rsidR="006A1884" w:rsidRPr="00413FEF" w:rsidRDefault="006A1884" w:rsidP="00A10F9F">
      <w:pPr>
        <w:spacing w:line="360" w:lineRule="auto"/>
        <w:ind w:firstLine="720"/>
      </w:pPr>
      <w:r w:rsidRPr="00413FEF">
        <w:t xml:space="preserve"> Reasoned scepticism about the role of science in policy decisions should be taken seriously, both because of the worries about the politics of trust raised above, and because distrust may </w:t>
      </w:r>
      <w:r w:rsidRPr="00413FEF">
        <w:rPr>
          <w:i/>
          <w:iCs/>
        </w:rPr>
        <w:t>signal</w:t>
      </w:r>
      <w:r w:rsidRPr="00413FEF">
        <w:t xml:space="preserve"> social imbalances and wrongs in the way scientific knowledge is placed in the service of the political and social interests of some sectors of the society at the expense of others. In such instances, scepticism and distrust </w:t>
      </w:r>
      <w:r w:rsidR="004D4D41" w:rsidRPr="00413FEF">
        <w:t xml:space="preserve">are </w:t>
      </w:r>
      <w:r w:rsidRPr="00413FEF">
        <w:t>not only justified, but may have the value of pointing in the direction of something that needs rectifying. At other times, distrust stems from a fear of losing autonomy and</w:t>
      </w:r>
      <w:r w:rsidR="00C60660">
        <w:t>,</w:t>
      </w:r>
      <w:r w:rsidRPr="00413FEF">
        <w:t xml:space="preserve"> hence</w:t>
      </w:r>
      <w:r w:rsidR="00C60660">
        <w:t>,</w:t>
      </w:r>
      <w:r w:rsidRPr="00413FEF">
        <w:t xml:space="preserve"> power. This source of distrust is different, but it too points at social imbalances that need to be acknowledged. On the other hand, as we have seen, distrust of experts, even when it originates from experiences of injustice and long-standing grievances, becomes a source of concern when scientific advice plays a </w:t>
      </w:r>
      <w:r w:rsidR="004D4D41" w:rsidRPr="00413FEF">
        <w:t xml:space="preserve">crucial </w:t>
      </w:r>
      <w:r w:rsidRPr="00413FEF">
        <w:t>and urgent role in securing the wellbeing of a population or a planet. As the COVID-19 pandemic has dramatically</w:t>
      </w:r>
      <w:r w:rsidR="00484554" w:rsidRPr="00484554">
        <w:t xml:space="preserve"> </w:t>
      </w:r>
      <w:r w:rsidR="00484554" w:rsidRPr="00413FEF">
        <w:t>demonstrated</w:t>
      </w:r>
      <w:r w:rsidRPr="00413FEF">
        <w:t xml:space="preserve">, </w:t>
      </w:r>
      <w:r w:rsidR="00484554">
        <w:t xml:space="preserve">expert </w:t>
      </w:r>
      <w:r w:rsidRPr="00413FEF">
        <w:t xml:space="preserve">intervention </w:t>
      </w:r>
      <w:r w:rsidR="006F3709">
        <w:t>in</w:t>
      </w:r>
      <w:r w:rsidR="006F3709" w:rsidRPr="00413FEF">
        <w:t xml:space="preserve"> </w:t>
      </w:r>
      <w:r w:rsidRPr="00413FEF">
        <w:t xml:space="preserve">policy decisions can be of </w:t>
      </w:r>
      <w:r w:rsidR="006F3709">
        <w:t>critical</w:t>
      </w:r>
      <w:r w:rsidR="006F3709" w:rsidRPr="00413FEF">
        <w:t xml:space="preserve"> </w:t>
      </w:r>
      <w:r w:rsidRPr="00413FEF">
        <w:t>urgency</w:t>
      </w:r>
      <w:r w:rsidR="00484554">
        <w:t>,</w:t>
      </w:r>
      <w:r w:rsidRPr="00413FEF">
        <w:t xml:space="preserve"> and the need for their advice, literally, a matter of life and death. Th</w:t>
      </w:r>
      <w:r w:rsidR="00FB1245">
        <w:t>is</w:t>
      </w:r>
      <w:r w:rsidRPr="00413FEF">
        <w:t xml:space="preserve"> point can be generali</w:t>
      </w:r>
      <w:r w:rsidR="00454630">
        <w:t>z</w:t>
      </w:r>
      <w:r w:rsidRPr="00413FEF">
        <w:t xml:space="preserve">ed beyond the current emergency and be applied to other threats facing us, with climate change and vaccination being among the most notable examples. </w:t>
      </w:r>
    </w:p>
    <w:p w14:paraId="132ED84D" w14:textId="0EDCDF43" w:rsidR="006A1884" w:rsidRPr="00413FEF" w:rsidRDefault="006A1884" w:rsidP="003A1AF4">
      <w:pPr>
        <w:spacing w:line="360" w:lineRule="auto"/>
        <w:ind w:firstLine="720"/>
      </w:pPr>
      <w:r w:rsidRPr="00413FEF">
        <w:t xml:space="preserve">In such instances, trust in experts takes on specific features, which are relevant to assessing its ethical significance. </w:t>
      </w:r>
      <w:r w:rsidR="00F961B8" w:rsidRPr="00413FEF">
        <w:t>First, health emergencies or</w:t>
      </w:r>
      <w:r w:rsidRPr="00413FEF">
        <w:t xml:space="preserve"> the science of climate change are backed by widespread consensus within the scientific community, offering grounds for reduced scepticism. Second, the </w:t>
      </w:r>
      <w:r w:rsidRPr="00413FEF">
        <w:rPr>
          <w:lang w:val="en-US"/>
        </w:rPr>
        <w:t>urgent need for action in the face of an imminent threat reduces the opportunity for independent reflection and assessment</w:t>
      </w:r>
      <w:r w:rsidR="00BE4E41">
        <w:rPr>
          <w:lang w:val="en-US"/>
        </w:rPr>
        <w:t>,</w:t>
      </w:r>
      <w:r w:rsidRPr="00413FEF">
        <w:rPr>
          <w:lang w:val="en-US"/>
        </w:rPr>
        <w:t xml:space="preserve"> and heightens the need to </w:t>
      </w:r>
      <w:r w:rsidRPr="00413FEF">
        <w:rPr>
          <w:lang w:val="en-US"/>
        </w:rPr>
        <w:lastRenderedPageBreak/>
        <w:t xml:space="preserve">exercise trust as a shortcut to immediate action. </w:t>
      </w:r>
      <w:r w:rsidRPr="00413FEF">
        <w:t xml:space="preserve">Third, trust is not just expedient but essential in these matters, because firsthand knowledge of medical and climate science among the public is scarce, and </w:t>
      </w:r>
      <w:r w:rsidR="00100200" w:rsidRPr="00413FEF">
        <w:t xml:space="preserve">even </w:t>
      </w:r>
      <w:r w:rsidRPr="00413FEF">
        <w:t xml:space="preserve">well-informed attitudes about these questions essentially depend on trust in the testimony of experts </w:t>
      </w:r>
      <w:r w:rsidRPr="001B39C5">
        <w:fldChar w:fldCharType="begin"/>
      </w:r>
      <w:r w:rsidRPr="00413FEF">
        <w:instrText xml:space="preserve"> ADDIN ZOTERO_ITEM CSL_CITATION {"citationID":"zFfKarSq","properties":{"formattedCitation":"(Almassi 2012)","plainCitation":"(Almassi 2012)","dontUpdate":true,"noteIndex":0},"citationItems":[{"id":327,"uris":["http://zotero.org/users/local/5grjdT5j/items/I2BNWE89"],"uri":["http://zotero.org/users/local/5grjdT5j/items/I2BNWE89"],"itemData":{"id":327,"type":"article-journal","container-title":"Ethics and the Environment","DOI":"10.2979/ethicsenviro.17.2.29","issue":"2","page":"29–49","source":"PhilPapers","title":"Climate Change, Epistemic Trust, and Expert Trustworthiness","volume":"17","author":[{"literal":"Almassi"}],"issued":{"date-parts":[["2012"]]}}}],"schema":"https://github.com/citation-style-language/schema/raw/master/csl-citation.json"} </w:instrText>
      </w:r>
      <w:r w:rsidRPr="001B39C5">
        <w:fldChar w:fldCharType="separate"/>
      </w:r>
      <w:r w:rsidRPr="00413FEF">
        <w:rPr>
          <w:noProof/>
        </w:rPr>
        <w:t>(see Almassi</w:t>
      </w:r>
      <w:r w:rsidR="00DD53C3">
        <w:rPr>
          <w:noProof/>
        </w:rPr>
        <w:t>,</w:t>
      </w:r>
      <w:r w:rsidRPr="00413FEF">
        <w:rPr>
          <w:noProof/>
        </w:rPr>
        <w:t xml:space="preserve"> 2012)</w:t>
      </w:r>
      <w:r w:rsidRPr="001B39C5">
        <w:fldChar w:fldCharType="end"/>
      </w:r>
      <w:r w:rsidRPr="00413FEF">
        <w:t xml:space="preserve">. Furthermore, the </w:t>
      </w:r>
      <w:r w:rsidRPr="00413FEF">
        <w:rPr>
          <w:lang w:val="en-US"/>
        </w:rPr>
        <w:t xml:space="preserve">requirements of compliance with expert advice for the public good in these cases is not just a question of individual autonomous choice, but a matter of significance to all members of society, in the local as well as global community. </w:t>
      </w:r>
      <w:r w:rsidRPr="00413FEF">
        <w:t xml:space="preserve">The prominence of the cases of </w:t>
      </w:r>
      <w:r w:rsidR="00F961B8" w:rsidRPr="00413FEF">
        <w:t xml:space="preserve">the </w:t>
      </w:r>
      <w:r w:rsidR="00100200" w:rsidRPr="00413FEF">
        <w:t>COVID</w:t>
      </w:r>
      <w:r w:rsidR="00DD53C3">
        <w:t>-19</w:t>
      </w:r>
      <w:r w:rsidR="00100200" w:rsidRPr="00413FEF">
        <w:t xml:space="preserve"> </w:t>
      </w:r>
      <w:r w:rsidR="00F961B8" w:rsidRPr="00413FEF">
        <w:t xml:space="preserve">emergency </w:t>
      </w:r>
      <w:r w:rsidRPr="00413FEF">
        <w:t xml:space="preserve"> and climate change in the discussion of trust is motivated by the urgency of acting upon the information conveyed, and the far-reaching consequences of either trust or distrust in  relevant expert advice. </w:t>
      </w:r>
    </w:p>
    <w:p w14:paraId="4C9CDB59" w14:textId="6F35BC60" w:rsidR="006A1884" w:rsidRPr="00413FEF" w:rsidRDefault="006A1884" w:rsidP="003A1AF4">
      <w:pPr>
        <w:autoSpaceDE w:val="0"/>
        <w:autoSpaceDN w:val="0"/>
        <w:adjustRightInd w:val="0"/>
        <w:spacing w:line="360" w:lineRule="auto"/>
      </w:pPr>
      <w:r w:rsidRPr="00413FEF">
        <w:tab/>
        <w:t xml:space="preserve">Much of the reaction to the real or perceived breakdown of trust in experts, over the last few years, has called on better communication or messaging by scientists and science journalists </w:t>
      </w:r>
      <w:r w:rsidRPr="001B39C5">
        <w:fldChar w:fldCharType="begin"/>
      </w:r>
      <w:r w:rsidRPr="00413FEF">
        <w:instrText xml:space="preserve"> ADDIN ZOTERO_ITEM CSL_CITATION {"citationID":"Os5gE2A5","properties":{"formattedCitation":"(Lewenstein and Brossard 2006)","plainCitation":"(Lewenstein and Brossard 2006)","noteIndex":0},"citationItems":[{"id":662,"uris":["http://zotero.org/users/local/5grjdT5j/items/FKS97B95"],"uri":["http://zotero.org/users/local/5grjdT5j/items/FKS97B95"],"itemData":{"id":662,"type":"article-journal","abstract":"Advances in the science of genetics have implications for individuals and society, and have to be taken into account at the policy level. Studies of ethical, legal and social issues related to genomic research have therefore been integrated in the Human Genome Project (HGP) since the earliest days of the project. Since 1990, three to five percent of the HGP annual budget has been devoted to such studies, under the umbrella of the Ethical, Legal, and Social Implications (ELSI) Programs of the National Human Genome Research Institute of the National Institute of Health, and of the Office of Biological and Environmental Research of the U.S. Department of Energy (DOE). The DOE-ELSI budget has been used to fund a variety of projects that have aimed at ?promoting education and help guide the conduct of genetic research and the development of related medical and public policies? (HGP, 2003). ;\n;\nAs part of the educational component, a significant portion of DOE-ELSI funds have been dedicated to public outreach projects, with the underlying goal of promoting public awareness and ultimately public discussion of ethical, legal, and social issues surrounding availability of genetic information (Drell, 2002). The essential assumption behind these projects is that greater access to information will lead to more knowledge about ethical, legal and social issues, which in turn will lead to enhanced ability on the part of individuals and communities to deal with these issues when they encounter them. Over the same period of time, new concepts of ?public understanding of science? have emerged in the theoretical realm, moving from a ?deficit? or linear dissemination of popularization, to models stressing lay-knowledge, public engagement and public participation in science policy-making (Lewenstein, 2003).;\n;\nThe present project uses the base of DOE-funded ELSI educational project to explore the ways that information about a new and emerging area of science that is intertwined with public issues has been used in educational public settings to affect public understanding of science. After a theoretical background discussion, our approach is three-fold. First, we will provide an overview, a ?map? of DOE-funded of outreach programs within the overall ELSI context to identify the importance of the educational component, and to present the criteria we used to select relevant and representative case studies. Second, we will document the history of the case studies. Finally, we will explore an intertwined set of research questions: (1) To identify what we can expect such projects to accomplish -in other words to determine the goals that can reasonably be achieved by different types of outreach, (2) To point out how the case study approach could be useful for DOE-ELSI outreach as a whole, and (3) To use the case study approach as a basis to test theoretical models of science outreach in order to assess to what extent those models accord with real world outreach activities. For this last goal, we aim at identifying what practices among ELSI outreach activities contribute most to dissemination, or to participation, in other words in which cases outreach materials spark action in terms of public participation in decisions about scientific issues.","DOI":"10.2172/876753","source":"ResearchGate","title":"Assessing Models of Public Understanding In ELSI Outreach Materials","author":[{"family":"Lewenstein","given":"Bruce"},{"family":"Brossard","given":"Dominique"}],"issued":{"date-parts":[["2006",1,1]]}}}],"schema":"https://github.com/citation-style-language/schema/raw/master/csl-citation.json"} </w:instrText>
      </w:r>
      <w:r w:rsidRPr="001B39C5">
        <w:fldChar w:fldCharType="separate"/>
      </w:r>
      <w:r w:rsidRPr="00413FEF">
        <w:rPr>
          <w:noProof/>
        </w:rPr>
        <w:t xml:space="preserve">(Lewenstein </w:t>
      </w:r>
      <w:r w:rsidR="0076795E">
        <w:rPr>
          <w:noProof/>
        </w:rPr>
        <w:t>&amp;</w:t>
      </w:r>
      <w:r w:rsidR="0076795E" w:rsidRPr="00413FEF">
        <w:rPr>
          <w:noProof/>
        </w:rPr>
        <w:t xml:space="preserve"> </w:t>
      </w:r>
      <w:r w:rsidRPr="00413FEF">
        <w:rPr>
          <w:noProof/>
        </w:rPr>
        <w:t>Brossard</w:t>
      </w:r>
      <w:r w:rsidR="0076795E">
        <w:rPr>
          <w:noProof/>
        </w:rPr>
        <w:t>,</w:t>
      </w:r>
      <w:r w:rsidRPr="00413FEF">
        <w:rPr>
          <w:noProof/>
        </w:rPr>
        <w:t xml:space="preserve"> 2006; </w:t>
      </w:r>
      <w:r w:rsidRPr="001B39C5">
        <w:fldChar w:fldCharType="end"/>
      </w:r>
      <w:r w:rsidRPr="001B39C5">
        <w:fldChar w:fldCharType="begin"/>
      </w:r>
      <w:r w:rsidRPr="00413FEF">
        <w:instrText xml:space="preserve"> ADDIN ZOTERO_ITEM CSL_CITATION {"citationID":"cmAVgu2r","properties":{"formattedCitation":"(Jasanoff 2014)","plainCitation":"(Jasanoff 2014)","noteIndex":0},"citationItems":[{"id":665,"uris":["http://zotero.org/users/local/5grjdT5j/items/WTBRYKJI"],"uri":["http://zotero.org/users/local/5grjdT5j/items/WTBRYKJI"],"itemData":{"id":665,"type":"article-journal","abstract":"Early conceptions of the public understanding of science suffered from a narrow framing of what science means and a presumption that science is divided from its publics by walls of ignorance and indifference. Those assumptions amplified misunderstanding and led to faulty policies. It is time to reopen each element in the term “public understanding of science” to renewed reflection. This journal can advance that goal by encouraging research on actual rather than imagined public responses to science, on representations of science in the public sphere, and on interactions between science, technology and society.","container-title":"Public Understanding of Science","DOI":"10.1177/0963662513505509","ISSN":"0963-6625","issue":"1","journalAbbreviation":"Public Underst Sci","language":"en","note":"publisher: SAGE Publications Ltd","page":"21-26","source":"SAGE Journals","title":"A mirror for science","volume":"23","author":[{"family":"Jasanoff","given":"Sheila"}],"issued":{"date-parts":[["2014",1,1]]}}}],"schema":"https://github.com/citation-style-language/schema/raw/master/csl-citation.json"} </w:instrText>
      </w:r>
      <w:r w:rsidRPr="001B39C5">
        <w:fldChar w:fldCharType="separate"/>
      </w:r>
      <w:r w:rsidRPr="00413FEF">
        <w:rPr>
          <w:noProof/>
        </w:rPr>
        <w:t>Jasanoff</w:t>
      </w:r>
      <w:r w:rsidR="0076795E">
        <w:rPr>
          <w:noProof/>
        </w:rPr>
        <w:t>,</w:t>
      </w:r>
      <w:r w:rsidRPr="00413FEF">
        <w:rPr>
          <w:noProof/>
        </w:rPr>
        <w:t xml:space="preserve"> 2014)</w:t>
      </w:r>
      <w:r w:rsidRPr="001B39C5">
        <w:fldChar w:fldCharType="end"/>
      </w:r>
      <w:r w:rsidRPr="00413FEF">
        <w:t>, greater scientific literacy on part of the general public (Lombrozo et al.</w:t>
      </w:r>
      <w:r w:rsidR="0076795E">
        <w:t>,</w:t>
      </w:r>
      <w:r w:rsidRPr="00413FEF">
        <w:t xml:space="preserve"> 2008</w:t>
      </w:r>
      <w:r w:rsidR="001340DD" w:rsidRPr="00413FEF">
        <w:t>;</w:t>
      </w:r>
      <w:r w:rsidRPr="00413FEF">
        <w:t xml:space="preserve">  </w:t>
      </w:r>
      <w:r w:rsidRPr="001B39C5">
        <w:fldChar w:fldCharType="begin"/>
      </w:r>
      <w:r w:rsidRPr="00413FEF">
        <w:instrText xml:space="preserve"> ADDIN ZOTERO_ITEM CSL_CITATION {"citationID":"t3DcXS6a","properties":{"formattedCitation":"(Miller 1983)","plainCitation":"(Miller 1983)","noteIndex":0},"citationItems":[{"id":669,"uris":["http://zotero.org/users/local/5grjdT5j/items/QUSHZX38"],"uri":["http://zotero.org/users/local/5grjdT5j/items/QUSHZX38"],"itemData":{"id":669,"type":"article-journal","container-title":"Daedalus","ISSN":"0011-5266","issue":"2","note":"publisher: The MIT Press","page":"29-48","source":"JSTOR","title":"Scientific Literacy: A Conceptual and Empirical Review","title-short":"Scientific Literacy","volume":"112","author":[{"family":"Miller","given":"Jon D."}],"issued":{"date-parts":[["1983"]]}}}],"schema":"https://github.com/citation-style-language/schema/raw/master/csl-citation.json"} </w:instrText>
      </w:r>
      <w:r w:rsidRPr="001B39C5">
        <w:fldChar w:fldCharType="separate"/>
      </w:r>
      <w:r w:rsidRPr="00413FEF">
        <w:rPr>
          <w:noProof/>
        </w:rPr>
        <w:t>Miller</w:t>
      </w:r>
      <w:r w:rsidR="0076795E">
        <w:rPr>
          <w:noProof/>
        </w:rPr>
        <w:t>,</w:t>
      </w:r>
      <w:r w:rsidRPr="00413FEF">
        <w:rPr>
          <w:noProof/>
        </w:rPr>
        <w:t xml:space="preserve"> 1983;</w:t>
      </w:r>
      <w:r w:rsidRPr="001B39C5">
        <w:fldChar w:fldCharType="end"/>
      </w:r>
      <w:r w:rsidRPr="00413FEF">
        <w:t xml:space="preserve"> </w:t>
      </w:r>
      <w:r w:rsidRPr="001B39C5">
        <w:fldChar w:fldCharType="begin"/>
      </w:r>
      <w:r w:rsidRPr="00413FEF">
        <w:instrText xml:space="preserve"> ADDIN ZOTERO_ITEM CSL_CITATION {"citationID":"zLC4Q9iA","properties":{"formattedCitation":"(Miller 2004)","plainCitation":"(Miller 2004)","noteIndex":0},"citationItems":[{"id":670,"uris":["http://zotero.org/users/local/5grjdT5j/items/3UC28QE9"],"uri":["http://zotero.org/users/local/5grjdT5j/items/3UC28QE9"],"itemData":{"id":670,"type":"article-journal","abstract":"Over the last four decades, a substantial body of national survey material has been collected in the US concerning the public understanding of science and technology. Using this body of research, this analysis outlines the major trends from 1957 to 1999 and discusses their implications for public understanding of, and attitudes toward, scientific research. The analysis found that although the rate of civic scientific literacy in the US is only now approaching 20 percent, there is a strong and continuing public belief in the value of scientific research for economic prosperity and for the quality of life. Even though there are some continuing reservations about the pace of change engendered by science and technology and the relationship between science and faith, the public consistently reconciles these differing perceptions in favor of science.","container-title":"Public Understanding of Science","DOI":"10.1177/0963662504044908","ISSN":"0963-6625","issue":"3","journalAbbreviation":"Public Underst Sci","language":"en","note":"publisher: SAGE Publications Ltd","page":"273-294","source":"SAGE Journals","title":"Public Understanding of, and Attitudes toward, Scientific Research: What We Know and What We Need to Know","title-short":"Public Understanding of, and Attitudes toward, Scientific Research","volume":"13","author":[{"family":"Miller","given":"Jon D."}],"issued":{"date-parts":[["2004",7,1]]}}}],"schema":"https://github.com/citation-style-language/schema/raw/master/csl-citation.json"} </w:instrText>
      </w:r>
      <w:r w:rsidRPr="001B39C5">
        <w:fldChar w:fldCharType="separate"/>
      </w:r>
      <w:r w:rsidRPr="00413FEF">
        <w:rPr>
          <w:noProof/>
        </w:rPr>
        <w:t>Miller</w:t>
      </w:r>
      <w:r w:rsidR="0076795E">
        <w:rPr>
          <w:noProof/>
        </w:rPr>
        <w:t>,</w:t>
      </w:r>
      <w:r w:rsidRPr="00413FEF">
        <w:rPr>
          <w:noProof/>
        </w:rPr>
        <w:t xml:space="preserve"> 2004</w:t>
      </w:r>
      <w:r w:rsidRPr="001B39C5">
        <w:fldChar w:fldCharType="end"/>
      </w:r>
      <w:r w:rsidRPr="00413FEF">
        <w:t>; Bodmer</w:t>
      </w:r>
      <w:r w:rsidR="0076795E">
        <w:t>,</w:t>
      </w:r>
      <w:r w:rsidRPr="00413FEF">
        <w:t xml:space="preserve"> 1985)</w:t>
      </w:r>
      <w:r w:rsidR="003524FC">
        <w:t>,</w:t>
      </w:r>
      <w:r w:rsidRPr="00413FEF">
        <w:t xml:space="preserve"> and countering the impact of motivated cognition </w:t>
      </w:r>
      <w:r w:rsidRPr="001B39C5">
        <w:fldChar w:fldCharType="begin"/>
      </w:r>
      <w:r w:rsidRPr="00413FEF">
        <w:instrText xml:space="preserve"> ADDIN ZOTERO_ITEM CSL_CITATION {"citationID":"DVHUYfEX","properties":{"formattedCitation":"(Oberauer and Lewandowsky 2016)","plainCitation":"(Oberauer and Lewandowsky 2016)","noteIndex":0},"citationItems":[{"id":667,"uris":["http://zotero.org/users/local/5grjdT5j/items/J8ZJHQV5"],"uri":["http://zotero.org/users/local/5grjdT5j/items/J8ZJHQV5"],"itemData":{"id":667,"type":"article-journal","container-title":"Cognition","DOI":"10.1016/j.cognition.2016.08.007","page":"106–128","source":"PhilPapers","title":"Control of Information in Working Memory: Encoding and Removal of Distractors in the Complex-Span Paradigm","title-short":"Control of Information in Working Memory","volume":"156","author":[{"family":"Oberauer","given":"Klaus"},{"family":"Lewandowsky","given":"Stephan"}],"issued":{"date-parts":[["2016"]]}}}],"schema":"https://github.com/citation-style-language/schema/raw/master/csl-citation.json"} </w:instrText>
      </w:r>
      <w:r w:rsidRPr="001B39C5">
        <w:fldChar w:fldCharType="separate"/>
      </w:r>
      <w:r w:rsidRPr="00413FEF">
        <w:rPr>
          <w:noProof/>
        </w:rPr>
        <w:t xml:space="preserve">(Oberauer </w:t>
      </w:r>
      <w:r w:rsidR="0076795E">
        <w:rPr>
          <w:noProof/>
        </w:rPr>
        <w:t>&amp;</w:t>
      </w:r>
      <w:r w:rsidR="0076795E" w:rsidRPr="00413FEF">
        <w:rPr>
          <w:noProof/>
        </w:rPr>
        <w:t xml:space="preserve"> </w:t>
      </w:r>
      <w:r w:rsidRPr="00413FEF">
        <w:rPr>
          <w:noProof/>
        </w:rPr>
        <w:t>Lewandowsky</w:t>
      </w:r>
      <w:r w:rsidR="0076795E">
        <w:rPr>
          <w:noProof/>
        </w:rPr>
        <w:t>,</w:t>
      </w:r>
      <w:r w:rsidRPr="00413FEF">
        <w:rPr>
          <w:noProof/>
        </w:rPr>
        <w:t xml:space="preserve"> 2016)</w:t>
      </w:r>
      <w:r w:rsidRPr="001B39C5">
        <w:fldChar w:fldCharType="end"/>
      </w:r>
      <w:r w:rsidRPr="00413FEF">
        <w:t>.</w:t>
      </w:r>
      <w:r w:rsidR="00100200" w:rsidRPr="00413FEF">
        <w:t xml:space="preserve"> </w:t>
      </w:r>
      <w:r w:rsidR="003524FC">
        <w:t>It is assumed that a</w:t>
      </w:r>
      <w:r w:rsidRPr="00413FEF">
        <w:t>ddressing these flaws</w:t>
      </w:r>
      <w:r w:rsidR="003524FC">
        <w:t xml:space="preserve"> </w:t>
      </w:r>
      <w:r w:rsidRPr="00413FEF">
        <w:t xml:space="preserve">will </w:t>
      </w:r>
      <w:r w:rsidR="003524FC">
        <w:t xml:space="preserve">also </w:t>
      </w:r>
      <w:r w:rsidRPr="00413FEF">
        <w:t>address issues of distrust in science. Others have rightly emphasi</w:t>
      </w:r>
      <w:r w:rsidR="007C2902">
        <w:t>z</w:t>
      </w:r>
      <w:r w:rsidRPr="00413FEF">
        <w:t xml:space="preserve">ed the need </w:t>
      </w:r>
      <w:r w:rsidR="007C2902">
        <w:t>not only</w:t>
      </w:r>
      <w:r w:rsidRPr="00413FEF">
        <w:t xml:space="preserve"> to substantiate </w:t>
      </w:r>
      <w:r w:rsidR="007C2902">
        <w:t xml:space="preserve">but also </w:t>
      </w:r>
      <w:r w:rsidRPr="00413FEF">
        <w:t xml:space="preserve">to increase the trustworthiness of experts by demonstrating not just their knowledge and competence, but also their honesty in communication and their responsibility or responsiveness to the evidence </w:t>
      </w:r>
      <w:r w:rsidRPr="00413FEF">
        <w:rPr>
          <w:noProof/>
        </w:rPr>
        <w:t>(Anderson</w:t>
      </w:r>
      <w:r w:rsidR="00091137">
        <w:rPr>
          <w:noProof/>
        </w:rPr>
        <w:t>,</w:t>
      </w:r>
      <w:r w:rsidRPr="00413FEF">
        <w:rPr>
          <w:noProof/>
        </w:rPr>
        <w:t xml:space="preserve"> 2011,</w:t>
      </w:r>
      <w:r w:rsidRPr="00413FEF">
        <w:t xml:space="preserve"> </w:t>
      </w:r>
      <w:r w:rsidR="00091137">
        <w:t xml:space="preserve">pp. </w:t>
      </w:r>
      <w:r w:rsidRPr="00413FEF">
        <w:t xml:space="preserve">145-46). </w:t>
      </w:r>
      <w:r w:rsidR="007C2902">
        <w:t>Nevertheless</w:t>
      </w:r>
      <w:r w:rsidRPr="00413FEF">
        <w:t xml:space="preserve">, as we have seen, distrust is not occasioned </w:t>
      </w:r>
      <w:r w:rsidR="005579AC">
        <w:t>solely</w:t>
      </w:r>
      <w:r w:rsidRPr="00413FEF">
        <w:t xml:space="preserve"> by perceptions of incompetence or failures in performance. Nor</w:t>
      </w:r>
      <w:r w:rsidR="005579AC">
        <w:t xml:space="preserve"> is</w:t>
      </w:r>
      <w:r w:rsidRPr="00413FEF">
        <w:t xml:space="preserve"> it only the result of normative and ethical failures, such as dishonesty or irresponsibility, on the part of experts. </w:t>
      </w:r>
    </w:p>
    <w:p w14:paraId="6FEDDB61" w14:textId="468EB9FB" w:rsidR="003A1AF4" w:rsidRPr="00413FEF" w:rsidRDefault="006A1884" w:rsidP="003A1AF4">
      <w:pPr>
        <w:autoSpaceDE w:val="0"/>
        <w:autoSpaceDN w:val="0"/>
        <w:adjustRightInd w:val="0"/>
        <w:spacing w:line="360" w:lineRule="auto"/>
        <w:ind w:firstLine="720"/>
      </w:pPr>
      <w:r w:rsidRPr="00413FEF">
        <w:t xml:space="preserve">Distrust arising from socially based concerns </w:t>
      </w:r>
      <w:r w:rsidR="00E51332">
        <w:t>demonstrates</w:t>
      </w:r>
      <w:r w:rsidR="00E51332" w:rsidRPr="00413FEF">
        <w:t xml:space="preserve"> </w:t>
      </w:r>
      <w:r w:rsidRPr="00413FEF">
        <w:t xml:space="preserve">that what is at stake is not just professional credibility or competence, nor intellectual desire to master more information. In fact, distrust in experts in these cases can arise from the </w:t>
      </w:r>
      <w:r w:rsidRPr="00413FEF">
        <w:rPr>
          <w:i/>
          <w:iCs/>
        </w:rPr>
        <w:t>rejection</w:t>
      </w:r>
      <w:r w:rsidRPr="00413FEF">
        <w:t xml:space="preserve"> of the information coming from a particular source, not just because of worries about the accuracy of the information or the personal credibility of the experts responsible, but because of the background values and political structures within which the information is created and shared. What is at issue is not only the </w:t>
      </w:r>
      <w:r w:rsidRPr="00413FEF">
        <w:rPr>
          <w:i/>
          <w:iCs/>
        </w:rPr>
        <w:t>content</w:t>
      </w:r>
      <w:r w:rsidRPr="00413FEF">
        <w:t xml:space="preserve"> of the message of distrust or scepticism, but </w:t>
      </w:r>
      <w:r w:rsidRPr="00413FEF">
        <w:lastRenderedPageBreak/>
        <w:t xml:space="preserve">also both the </w:t>
      </w:r>
      <w:r w:rsidRPr="00413FEF">
        <w:rPr>
          <w:i/>
          <w:iCs/>
        </w:rPr>
        <w:t>identity</w:t>
      </w:r>
      <w:r w:rsidRPr="00413FEF">
        <w:t xml:space="preserve"> of those who are distrustful,</w:t>
      </w:r>
      <w:r w:rsidR="00A26418">
        <w:rPr>
          <w:rStyle w:val="FootnoteReference"/>
        </w:rPr>
        <w:footnoteReference w:id="17"/>
      </w:r>
      <w:r w:rsidRPr="00413FEF">
        <w:t xml:space="preserve"> </w:t>
      </w:r>
      <w:r w:rsidR="00A17F71" w:rsidRPr="00413FEF">
        <w:t>as well as the social, political, and historical factors influencing the creation and reception of the scientific message.</w:t>
      </w:r>
    </w:p>
    <w:p w14:paraId="6FF0E1AE" w14:textId="657C0DE1" w:rsidR="007534E5" w:rsidRPr="00413FEF" w:rsidRDefault="00A17F71" w:rsidP="003A1AF4">
      <w:pPr>
        <w:autoSpaceDE w:val="0"/>
        <w:autoSpaceDN w:val="0"/>
        <w:adjustRightInd w:val="0"/>
        <w:spacing w:line="360" w:lineRule="auto"/>
        <w:ind w:firstLine="720"/>
        <w:rPr>
          <w:highlight w:val="cyan"/>
        </w:rPr>
      </w:pPr>
      <w:r w:rsidRPr="00413FEF">
        <w:t>To reiterate the point, while ensuring the trustworthiness of experts</w:t>
      </w:r>
      <w:r w:rsidR="00F7422A">
        <w:t>—</w:t>
      </w:r>
      <w:r w:rsidRPr="00413FEF">
        <w:t xml:space="preserve">and </w:t>
      </w:r>
      <w:r w:rsidR="00F7422A">
        <w:t xml:space="preserve">of the </w:t>
      </w:r>
      <w:r w:rsidRPr="00413FEF">
        <w:t xml:space="preserve">policymakers </w:t>
      </w:r>
      <w:r w:rsidR="00F7422A">
        <w:t>they advise—</w:t>
      </w:r>
      <w:r w:rsidRPr="00413FEF">
        <w:t xml:space="preserve">is essential </w:t>
      </w:r>
      <w:r w:rsidR="00F7422A">
        <w:t>for</w:t>
      </w:r>
      <w:r w:rsidR="00F7422A" w:rsidRPr="00413FEF">
        <w:t xml:space="preserve"> </w:t>
      </w:r>
      <w:r w:rsidRPr="00413FEF">
        <w:t xml:space="preserve">countering unwarranted distrust, we also need to take into account the varying factors that go into </w:t>
      </w:r>
      <w:r w:rsidR="00BC282D">
        <w:t xml:space="preserve">the </w:t>
      </w:r>
      <w:r w:rsidRPr="00413FEF">
        <w:t>legitimi</w:t>
      </w:r>
      <w:r w:rsidR="00BC282D">
        <w:t>zation of</w:t>
      </w:r>
      <w:r w:rsidRPr="00413FEF">
        <w:t xml:space="preserve"> distrust. To achieve the complex goal of countering the call of distrust, we argue, </w:t>
      </w:r>
      <w:r w:rsidR="00BC282D">
        <w:t>it is necessary</w:t>
      </w:r>
      <w:r w:rsidRPr="00413FEF">
        <w:t xml:space="preserve"> to create a climate of trust</w:t>
      </w:r>
      <w:r w:rsidR="00BC282D">
        <w:t>—</w:t>
      </w:r>
      <w:r w:rsidRPr="00413FEF">
        <w:t xml:space="preserve">a social and political environment </w:t>
      </w:r>
      <w:r w:rsidR="00BC282D">
        <w:t>in which</w:t>
      </w:r>
      <w:r w:rsidRPr="00413FEF">
        <w:t xml:space="preserve"> the concerns that legitimi</w:t>
      </w:r>
      <w:r w:rsidR="00F7422A">
        <w:t>z</w:t>
      </w:r>
      <w:r w:rsidRPr="00413FEF">
        <w:t xml:space="preserve">e distrust are acknowledged and, </w:t>
      </w:r>
      <w:r w:rsidR="00BC282D">
        <w:t xml:space="preserve">insofar as </w:t>
      </w:r>
      <w:r w:rsidRPr="00413FEF">
        <w:t xml:space="preserve"> possible</w:t>
      </w:r>
      <w:r w:rsidR="00781C27" w:rsidRPr="00413FEF">
        <w:t>,</w:t>
      </w:r>
      <w:r w:rsidRPr="00413FEF">
        <w:t xml:space="preserve"> addressed</w:t>
      </w:r>
      <w:r w:rsidR="00BC282D">
        <w:t>,</w:t>
      </w:r>
      <w:r w:rsidRPr="00413FEF">
        <w:t xml:space="preserve"> and where legitimate trust is allowed to flourish. </w:t>
      </w:r>
    </w:p>
    <w:p w14:paraId="0E206D53" w14:textId="632D5E82" w:rsidR="00A17F71" w:rsidRPr="00413FEF" w:rsidRDefault="00A17F71" w:rsidP="004756F6">
      <w:pPr>
        <w:spacing w:line="360" w:lineRule="auto"/>
        <w:ind w:firstLine="720"/>
      </w:pPr>
      <w:r w:rsidRPr="00413FEF">
        <w:t>T</w:t>
      </w:r>
      <w:r w:rsidRPr="00413FEF">
        <w:rPr>
          <w:lang w:val="en-US"/>
        </w:rPr>
        <w:t xml:space="preserve">rust in experts, particularly but not only in cases where they guide policy decision, cannot be treated in isolation, for it is interwoven with other social and political forms and requirements of trust. For this reason, as Scheman (2011) has argued, the impersonal discourse of science, its universal concept of objectivity, and the impersonal demonstrability of trustworthiness that goes with it, are not enough in a context where social hierarchies exclude some individuals and groups from the production of knowledge and the exercise of power. Trust, as Scheman puts it, </w:t>
      </w:r>
      <w:r w:rsidRPr="00413FEF">
        <w:t>“needs to be convincingly demonstrated—not just abstractly demonstrable</w:t>
      </w:r>
      <w:r w:rsidR="005D50D2">
        <w:t>,</w:t>
      </w:r>
      <w:r w:rsidRPr="00413FEF">
        <w:t>” and justified belief in the trustworthiness of the scientific methods practiced by institutions depends on</w:t>
      </w:r>
      <w:r w:rsidR="00022197">
        <w:t>:</w:t>
      </w:r>
    </w:p>
    <w:p w14:paraId="56F9600A" w14:textId="5E8F7F09" w:rsidR="00A17F71" w:rsidRPr="00413FEF" w:rsidRDefault="00A17F71" w:rsidP="00B2506B">
      <w:pPr>
        <w:spacing w:line="360" w:lineRule="auto"/>
        <w:ind w:left="720"/>
      </w:pPr>
      <w:r w:rsidRPr="00413FEF">
        <w:t>the justified belief that those institutions do in practice what they are supposed to do in theory: ground knowledge claims that are acceptable to all of us, not just to those of us with certain forms of privilege, who see the world through certain lenses, from certain biased perspectives. (Scheman</w:t>
      </w:r>
      <w:r w:rsidR="00961983">
        <w:t>,</w:t>
      </w:r>
      <w:r w:rsidRPr="00413FEF">
        <w:t xml:space="preserve"> 2001</w:t>
      </w:r>
      <w:r w:rsidR="00961983">
        <w:t>, p.</w:t>
      </w:r>
      <w:r w:rsidRPr="00413FEF">
        <w:t xml:space="preserve"> 221) </w:t>
      </w:r>
    </w:p>
    <w:p w14:paraId="5B8272BA" w14:textId="65B63119" w:rsidR="007534E5" w:rsidRPr="00413FEF" w:rsidRDefault="007534E5" w:rsidP="00B2506B">
      <w:pPr>
        <w:spacing w:line="360" w:lineRule="auto"/>
      </w:pPr>
    </w:p>
    <w:p w14:paraId="75C21D73" w14:textId="420965FE" w:rsidR="00A10F9F" w:rsidRPr="00413FEF" w:rsidRDefault="00B70442" w:rsidP="00866C4D">
      <w:pPr>
        <w:spacing w:line="360" w:lineRule="auto"/>
      </w:pPr>
      <w:r w:rsidRPr="00413FEF">
        <w:rPr>
          <w:lang w:val="en-US"/>
        </w:rPr>
        <w:t>The</w:t>
      </w:r>
      <w:r w:rsidR="00A17F71" w:rsidRPr="00413FEF">
        <w:rPr>
          <w:lang w:val="en-US"/>
        </w:rPr>
        <w:t xml:space="preserve"> requirement of trustworthiness is not spread equally across all members of the society:</w:t>
      </w:r>
      <w:r w:rsidR="00A17F71" w:rsidRPr="00413FEF">
        <w:t xml:space="preserve"> </w:t>
      </w:r>
      <w:r w:rsidR="00A17F71" w:rsidRPr="00413FEF">
        <w:rPr>
          <w:lang w:val="en-US"/>
        </w:rPr>
        <w:t>greater demands and more onerous conditions are placed on policy makers, the experts of various kinds, the media, and medical carers, to name a few. This does not, however, let individual consumers of expertise off the hook. Consumers of information</w:t>
      </w:r>
      <w:proofErr w:type="gramStart"/>
      <w:r w:rsidR="00A17F71" w:rsidRPr="00413FEF">
        <w:rPr>
          <w:lang w:val="en-US"/>
        </w:rPr>
        <w:t>, in particular, have</w:t>
      </w:r>
      <w:proofErr w:type="gramEnd"/>
      <w:r w:rsidR="00A17F71" w:rsidRPr="00413FEF">
        <w:rPr>
          <w:lang w:val="en-US"/>
        </w:rPr>
        <w:t xml:space="preserve"> responsibility to show due diligence in accepting the testimony of their sources or in transmitting such information to others. </w:t>
      </w:r>
      <w:r w:rsidR="00A17F71" w:rsidRPr="00413FEF">
        <w:t xml:space="preserve">In the remainder of the paper, we will briefly outline how elements of a climate of trust can address some of the worries listed </w:t>
      </w:r>
      <w:r w:rsidR="00A10F9F" w:rsidRPr="00413FEF">
        <w:t>here.</w:t>
      </w:r>
    </w:p>
    <w:p w14:paraId="20435604" w14:textId="4774319A" w:rsidR="007534E5" w:rsidRPr="00413FEF" w:rsidRDefault="00A17F71" w:rsidP="00A10F9F">
      <w:pPr>
        <w:spacing w:line="360" w:lineRule="auto"/>
        <w:ind w:firstLine="720"/>
        <w:rPr>
          <w:b/>
          <w:bCs/>
        </w:rPr>
      </w:pPr>
      <w:r w:rsidRPr="00413FEF">
        <w:lastRenderedPageBreak/>
        <w:t xml:space="preserve">The idea of a climate of trust involves addressing the root causes of distrust not only in the specific domains where distrust manifests itself, but also the different power structures in which these domains are articulated. Establishing a climate of trust requires acknowledging the full range of the causes of distrust, which observing the social positions of the sceptics reveals to be more than merely intellectual; and this, in turn, means being prepared to change deeply rooted social and political structures and practices. If distrust is at least partly based on power inequalities and (past and current) discrimination, then consistent and visible efforts to rectify such inequalities are part and parcel of building a climate of trust. </w:t>
      </w:r>
    </w:p>
    <w:p w14:paraId="4C6CEEED" w14:textId="74EEC223" w:rsidR="007534E5" w:rsidRPr="00413FEF" w:rsidRDefault="008A7BC8" w:rsidP="00781C27">
      <w:pPr>
        <w:tabs>
          <w:tab w:val="left" w:pos="7655"/>
        </w:tabs>
        <w:spacing w:line="360" w:lineRule="auto"/>
        <w:ind w:firstLine="720"/>
      </w:pPr>
      <w:r w:rsidRPr="00413FEF">
        <w:t xml:space="preserve">Trust and distrust are valuable when exercised under the right conditions and directed towards the right individuals and organisations. </w:t>
      </w:r>
      <w:r w:rsidR="00A17F71" w:rsidRPr="00413FEF">
        <w:t xml:space="preserve">The connecting element </w:t>
      </w:r>
      <w:r w:rsidRPr="00413FEF">
        <w:t xml:space="preserve">between them </w:t>
      </w:r>
      <w:r w:rsidR="00A17F71" w:rsidRPr="00413FEF">
        <w:t xml:space="preserve">is in the vulnerability and disempowerment that are inherent in trust and are also at the root of the distrust arising from experiences of injustice. To trust, as we saw, is to make ourselves vulnerable but </w:t>
      </w:r>
      <w:r w:rsidR="00781C27" w:rsidRPr="00413FEF">
        <w:t xml:space="preserve">an </w:t>
      </w:r>
      <w:r w:rsidR="00A17F71" w:rsidRPr="00413FEF">
        <w:t xml:space="preserve">added level of social vulnerability makes the act of trusting much more risky than it could otherwise be. We cannot remove the experience of vulnerability inherent the act of trusting , but in building a climate of trust we can work towards addressing the excesses of such feelings of vulnerability occasioned by experiences of  social injustice. </w:t>
      </w:r>
    </w:p>
    <w:p w14:paraId="6082A54C" w14:textId="77777777" w:rsidR="00CB2C57" w:rsidRDefault="00CB2C57">
      <w:pPr>
        <w:rPr>
          <w:rFonts w:eastAsiaTheme="majorEastAsia"/>
          <w:b/>
          <w:bCs/>
          <w:noProof/>
          <w:lang w:val="en-US" w:eastAsia="en-US" w:bidi="en-US"/>
        </w:rPr>
      </w:pPr>
      <w:r>
        <w:rPr>
          <w:noProof/>
        </w:rPr>
        <w:br w:type="page"/>
      </w:r>
    </w:p>
    <w:p w14:paraId="4803344C" w14:textId="6188F1D1" w:rsidR="00AA44CD" w:rsidRDefault="004756F6" w:rsidP="004756F6">
      <w:pPr>
        <w:jc w:val="center"/>
        <w:rPr>
          <w:lang w:val="en-US" w:bidi="en-US"/>
        </w:rPr>
      </w:pPr>
      <w:r>
        <w:rPr>
          <w:lang w:val="en-US" w:bidi="en-US"/>
        </w:rPr>
        <w:lastRenderedPageBreak/>
        <w:t>Bibliography</w:t>
      </w:r>
    </w:p>
    <w:p w14:paraId="36FC3E74" w14:textId="77777777" w:rsidR="004756F6" w:rsidRPr="00413FEF" w:rsidRDefault="004756F6" w:rsidP="004756F6">
      <w:pPr>
        <w:jc w:val="center"/>
        <w:rPr>
          <w:lang w:val="en-US" w:bidi="en-US"/>
        </w:rPr>
      </w:pPr>
    </w:p>
    <w:p w14:paraId="619DFDC1" w14:textId="77777777" w:rsidR="0061791D" w:rsidRPr="00413FEF" w:rsidRDefault="0061791D" w:rsidP="0061791D">
      <w:pPr>
        <w:spacing w:line="360" w:lineRule="auto"/>
        <w:rPr>
          <w:lang w:val="en-US" w:bidi="en-US"/>
        </w:rPr>
      </w:pPr>
      <w:r>
        <w:rPr>
          <w:lang w:val="en-US" w:bidi="en-US"/>
        </w:rPr>
        <w:t xml:space="preserve">Alfano, </w:t>
      </w:r>
      <w:r w:rsidRPr="00413FEF">
        <w:rPr>
          <w:lang w:val="en-US" w:bidi="en-US"/>
        </w:rPr>
        <w:t xml:space="preserve">M. </w:t>
      </w:r>
      <w:r>
        <w:rPr>
          <w:lang w:val="en-US" w:bidi="en-US"/>
        </w:rPr>
        <w:t>(</w:t>
      </w:r>
      <w:r w:rsidRPr="00413FEF">
        <w:rPr>
          <w:lang w:val="en-US" w:bidi="en-US"/>
        </w:rPr>
        <w:t>2016</w:t>
      </w:r>
      <w:r>
        <w:rPr>
          <w:lang w:val="en-US" w:bidi="en-US"/>
        </w:rPr>
        <w:t>)</w:t>
      </w:r>
      <w:r w:rsidRPr="00413FEF">
        <w:rPr>
          <w:lang w:val="en-US" w:bidi="en-US"/>
        </w:rPr>
        <w:t xml:space="preserve">. The </w:t>
      </w:r>
      <w:r>
        <w:rPr>
          <w:lang w:val="en-US" w:bidi="en-US"/>
        </w:rPr>
        <w:t>t</w:t>
      </w:r>
      <w:r w:rsidRPr="00413FEF">
        <w:rPr>
          <w:lang w:val="en-US" w:bidi="en-US"/>
        </w:rPr>
        <w:t xml:space="preserve">opology of </w:t>
      </w:r>
      <w:r>
        <w:rPr>
          <w:lang w:val="en-US" w:bidi="en-US"/>
        </w:rPr>
        <w:t>c</w:t>
      </w:r>
      <w:r w:rsidRPr="00413FEF">
        <w:rPr>
          <w:lang w:val="en-US" w:bidi="en-US"/>
        </w:rPr>
        <w:t xml:space="preserve">ommunities of </w:t>
      </w:r>
      <w:r>
        <w:rPr>
          <w:lang w:val="en-US" w:bidi="en-US"/>
        </w:rPr>
        <w:t>t</w:t>
      </w:r>
      <w:r w:rsidRPr="00413FEF">
        <w:rPr>
          <w:lang w:val="en-US" w:bidi="en-US"/>
        </w:rPr>
        <w:t xml:space="preserve">rust. </w:t>
      </w:r>
      <w:r w:rsidRPr="007450F1">
        <w:rPr>
          <w:i/>
          <w:lang w:val="en-US" w:bidi="en-US"/>
        </w:rPr>
        <w:t>Russian Sociological Review</w:t>
      </w:r>
      <w:r>
        <w:rPr>
          <w:i/>
          <w:lang w:val="en-US" w:bidi="en-US"/>
        </w:rPr>
        <w:t>,</w:t>
      </w:r>
      <w:r w:rsidRPr="00413FEF">
        <w:rPr>
          <w:lang w:val="en-US" w:bidi="en-US"/>
        </w:rPr>
        <w:t xml:space="preserve"> </w:t>
      </w:r>
      <w:r w:rsidRPr="007450F1">
        <w:rPr>
          <w:i/>
          <w:lang w:val="en-US" w:bidi="en-US"/>
        </w:rPr>
        <w:t>15</w:t>
      </w:r>
      <w:r w:rsidRPr="00413FEF">
        <w:rPr>
          <w:lang w:val="en-US" w:bidi="en-US"/>
        </w:rPr>
        <w:t>(4)</w:t>
      </w:r>
      <w:r>
        <w:rPr>
          <w:lang w:val="en-US" w:bidi="en-US"/>
        </w:rPr>
        <w:t>,</w:t>
      </w:r>
      <w:r w:rsidRPr="00413FEF">
        <w:rPr>
          <w:lang w:val="en-US" w:bidi="en-US"/>
        </w:rPr>
        <w:t xml:space="preserve"> 30–56.</w:t>
      </w:r>
    </w:p>
    <w:p w14:paraId="3B262C82" w14:textId="3569928C" w:rsidR="00887227" w:rsidRPr="00413FEF" w:rsidRDefault="00887227" w:rsidP="00947ED3">
      <w:pPr>
        <w:spacing w:line="360" w:lineRule="auto"/>
        <w:rPr>
          <w:lang w:val="en-US" w:bidi="en-US"/>
        </w:rPr>
      </w:pPr>
      <w:r w:rsidRPr="00413FEF">
        <w:rPr>
          <w:lang w:val="en-US" w:bidi="en-US"/>
        </w:rPr>
        <w:t xml:space="preserve">Almassi, B. </w:t>
      </w:r>
      <w:r w:rsidR="00AA44CD" w:rsidRPr="00413FEF">
        <w:rPr>
          <w:lang w:val="en-US" w:bidi="en-US"/>
        </w:rPr>
        <w:t>(</w:t>
      </w:r>
      <w:r w:rsidRPr="00413FEF">
        <w:rPr>
          <w:lang w:val="en-US" w:bidi="en-US"/>
        </w:rPr>
        <w:t>2012</w:t>
      </w:r>
      <w:r w:rsidR="00AA44CD" w:rsidRPr="00413FEF">
        <w:rPr>
          <w:lang w:val="en-US" w:bidi="en-US"/>
        </w:rPr>
        <w:t>)</w:t>
      </w:r>
      <w:r w:rsidR="0063784B">
        <w:rPr>
          <w:lang w:val="en-US" w:bidi="en-US"/>
        </w:rPr>
        <w:t>.</w:t>
      </w:r>
      <w:r w:rsidRPr="00413FEF">
        <w:rPr>
          <w:lang w:val="en-US" w:bidi="en-US"/>
        </w:rPr>
        <w:t xml:space="preserve"> Climate </w:t>
      </w:r>
      <w:r w:rsidR="00750D71">
        <w:rPr>
          <w:lang w:val="en-US" w:bidi="en-US"/>
        </w:rPr>
        <w:t>c</w:t>
      </w:r>
      <w:r w:rsidRPr="00413FEF">
        <w:rPr>
          <w:lang w:val="en-US" w:bidi="en-US"/>
        </w:rPr>
        <w:t xml:space="preserve">hange, </w:t>
      </w:r>
      <w:r w:rsidR="00750D71">
        <w:rPr>
          <w:lang w:val="en-US" w:bidi="en-US"/>
        </w:rPr>
        <w:t>e</w:t>
      </w:r>
      <w:r w:rsidRPr="00413FEF">
        <w:rPr>
          <w:lang w:val="en-US" w:bidi="en-US"/>
        </w:rPr>
        <w:t xml:space="preserve">pistemic </w:t>
      </w:r>
      <w:r w:rsidR="00750D71">
        <w:rPr>
          <w:lang w:val="en-US" w:bidi="en-US"/>
        </w:rPr>
        <w:t>t</w:t>
      </w:r>
      <w:r w:rsidRPr="00413FEF">
        <w:rPr>
          <w:lang w:val="en-US" w:bidi="en-US"/>
        </w:rPr>
        <w:t xml:space="preserve">rust, and </w:t>
      </w:r>
      <w:r w:rsidR="00750D71">
        <w:rPr>
          <w:lang w:val="en-US" w:bidi="en-US"/>
        </w:rPr>
        <w:t>e</w:t>
      </w:r>
      <w:r w:rsidRPr="00413FEF">
        <w:rPr>
          <w:lang w:val="en-US" w:bidi="en-US"/>
        </w:rPr>
        <w:t xml:space="preserve">xpert </w:t>
      </w:r>
      <w:r w:rsidR="00750D71">
        <w:rPr>
          <w:lang w:val="en-US" w:bidi="en-US"/>
        </w:rPr>
        <w:t>t</w:t>
      </w:r>
      <w:r w:rsidRPr="00413FEF">
        <w:rPr>
          <w:lang w:val="en-US" w:bidi="en-US"/>
        </w:rPr>
        <w:t xml:space="preserve">rustworthiness. </w:t>
      </w:r>
      <w:r w:rsidRPr="00413FEF">
        <w:rPr>
          <w:i/>
          <w:iCs/>
          <w:lang w:val="en-US" w:bidi="en-US"/>
        </w:rPr>
        <w:t xml:space="preserve">Ethics and the Environment </w:t>
      </w:r>
      <w:r w:rsidRPr="004756F6">
        <w:rPr>
          <w:i/>
          <w:lang w:val="en-US" w:bidi="en-US"/>
        </w:rPr>
        <w:t>17</w:t>
      </w:r>
      <w:r w:rsidRPr="00413FEF">
        <w:rPr>
          <w:lang w:val="en-US" w:bidi="en-US"/>
        </w:rPr>
        <w:t>(2)</w:t>
      </w:r>
      <w:r w:rsidR="00763EBF">
        <w:rPr>
          <w:lang w:val="en-US" w:bidi="en-US"/>
        </w:rPr>
        <w:t>,</w:t>
      </w:r>
      <w:r w:rsidRPr="00413FEF">
        <w:rPr>
          <w:lang w:val="en-US" w:bidi="en-US"/>
        </w:rPr>
        <w:t xml:space="preserve"> 29–49. https://doi.org/10.2979/ethicsenviro.17.2.29.</w:t>
      </w:r>
    </w:p>
    <w:p w14:paraId="36AA01CC" w14:textId="34B2618D" w:rsidR="00887227" w:rsidRPr="00413FEF" w:rsidRDefault="00887227" w:rsidP="00887227">
      <w:pPr>
        <w:spacing w:line="360" w:lineRule="auto"/>
        <w:rPr>
          <w:lang w:val="en-US"/>
        </w:rPr>
      </w:pPr>
      <w:r w:rsidRPr="00413FEF">
        <w:rPr>
          <w:lang w:val="en-US"/>
        </w:rPr>
        <w:t>Anderson, E. (2011)</w:t>
      </w:r>
      <w:r w:rsidR="0063784B">
        <w:rPr>
          <w:lang w:val="en-US"/>
        </w:rPr>
        <w:t>.</w:t>
      </w:r>
      <w:r w:rsidRPr="00413FEF">
        <w:rPr>
          <w:lang w:val="en-US"/>
        </w:rPr>
        <w:t xml:space="preserve"> Democracy, </w:t>
      </w:r>
      <w:r w:rsidR="00763EBF">
        <w:rPr>
          <w:lang w:val="en-US"/>
        </w:rPr>
        <w:t>p</w:t>
      </w:r>
      <w:r w:rsidRPr="00413FEF">
        <w:rPr>
          <w:lang w:val="en-US"/>
        </w:rPr>
        <w:t xml:space="preserve">ublic </w:t>
      </w:r>
      <w:r w:rsidR="00763EBF">
        <w:rPr>
          <w:lang w:val="en-US"/>
        </w:rPr>
        <w:t>p</w:t>
      </w:r>
      <w:r w:rsidRPr="00413FEF">
        <w:rPr>
          <w:lang w:val="en-US"/>
        </w:rPr>
        <w:t xml:space="preserve">olicy, and </w:t>
      </w:r>
      <w:r w:rsidR="00763EBF">
        <w:rPr>
          <w:lang w:val="en-US"/>
        </w:rPr>
        <w:t>l</w:t>
      </w:r>
      <w:r w:rsidRPr="00413FEF">
        <w:rPr>
          <w:lang w:val="en-US"/>
        </w:rPr>
        <w:t xml:space="preserve">ay </w:t>
      </w:r>
      <w:r w:rsidR="00763EBF">
        <w:rPr>
          <w:lang w:val="en-US"/>
        </w:rPr>
        <w:t>a</w:t>
      </w:r>
      <w:r w:rsidRPr="00413FEF">
        <w:rPr>
          <w:lang w:val="en-US"/>
        </w:rPr>
        <w:t xml:space="preserve">ssessments of </w:t>
      </w:r>
      <w:r w:rsidR="00763EBF">
        <w:rPr>
          <w:lang w:val="en-US"/>
        </w:rPr>
        <w:t>s</w:t>
      </w:r>
      <w:r w:rsidRPr="00413FEF">
        <w:rPr>
          <w:lang w:val="en-US"/>
        </w:rPr>
        <w:t xml:space="preserve">cientific </w:t>
      </w:r>
      <w:r w:rsidR="00763EBF">
        <w:rPr>
          <w:lang w:val="en-US"/>
        </w:rPr>
        <w:t>t</w:t>
      </w:r>
      <w:r w:rsidRPr="00413FEF">
        <w:rPr>
          <w:lang w:val="en-US"/>
        </w:rPr>
        <w:t>estimony</w:t>
      </w:r>
      <w:r w:rsidR="00763EBF">
        <w:rPr>
          <w:lang w:val="en-US"/>
        </w:rPr>
        <w:t>.</w:t>
      </w:r>
      <w:r w:rsidRPr="00413FEF">
        <w:rPr>
          <w:lang w:val="en-US"/>
        </w:rPr>
        <w:t xml:space="preserve"> </w:t>
      </w:r>
      <w:r w:rsidRPr="00413FEF">
        <w:rPr>
          <w:i/>
          <w:iCs/>
          <w:lang w:val="en-US"/>
        </w:rPr>
        <w:t>Episteme</w:t>
      </w:r>
      <w:r w:rsidRPr="00413FEF">
        <w:rPr>
          <w:lang w:val="en-US"/>
        </w:rPr>
        <w:t xml:space="preserve">, </w:t>
      </w:r>
      <w:r w:rsidRPr="004756F6">
        <w:rPr>
          <w:i/>
          <w:lang w:val="en-US"/>
        </w:rPr>
        <w:t>8</w:t>
      </w:r>
      <w:r w:rsidRPr="00413FEF">
        <w:rPr>
          <w:lang w:val="en-US"/>
        </w:rPr>
        <w:t>(2), 144-164.</w:t>
      </w:r>
    </w:p>
    <w:p w14:paraId="16030721" w14:textId="193C0BD2" w:rsidR="00887227" w:rsidRPr="00413FEF" w:rsidRDefault="00887227" w:rsidP="00947ED3">
      <w:pPr>
        <w:spacing w:line="360" w:lineRule="auto"/>
        <w:rPr>
          <w:lang w:val="en-US" w:bidi="en-US"/>
        </w:rPr>
      </w:pPr>
      <w:r w:rsidRPr="00413FEF">
        <w:rPr>
          <w:lang w:val="en-US" w:bidi="en-US"/>
        </w:rPr>
        <w:t>Arendt, H. (1972)</w:t>
      </w:r>
      <w:r w:rsidR="0063784B">
        <w:rPr>
          <w:lang w:val="en-US" w:bidi="en-US"/>
        </w:rPr>
        <w:t>.</w:t>
      </w:r>
      <w:r w:rsidRPr="00413FEF">
        <w:rPr>
          <w:lang w:val="en-US" w:bidi="en-US"/>
        </w:rPr>
        <w:t xml:space="preserve"> </w:t>
      </w:r>
      <w:r w:rsidRPr="004756F6">
        <w:rPr>
          <w:i/>
          <w:lang w:val="en-US" w:bidi="en-US"/>
        </w:rPr>
        <w:t xml:space="preserve">The </w:t>
      </w:r>
      <w:r w:rsidR="00763EBF" w:rsidRPr="004756F6">
        <w:rPr>
          <w:i/>
          <w:lang w:val="en-US" w:bidi="en-US"/>
        </w:rPr>
        <w:t>c</w:t>
      </w:r>
      <w:r w:rsidRPr="004756F6">
        <w:rPr>
          <w:i/>
          <w:lang w:val="en-US" w:bidi="en-US"/>
        </w:rPr>
        <w:t xml:space="preserve">rises of the </w:t>
      </w:r>
      <w:r w:rsidR="00763EBF" w:rsidRPr="004756F6">
        <w:rPr>
          <w:i/>
          <w:lang w:val="en-US" w:bidi="en-US"/>
        </w:rPr>
        <w:t>r</w:t>
      </w:r>
      <w:r w:rsidRPr="004756F6">
        <w:rPr>
          <w:i/>
          <w:lang w:val="en-US" w:bidi="en-US"/>
        </w:rPr>
        <w:t xml:space="preserve">epublic: Lying in </w:t>
      </w:r>
      <w:r w:rsidR="00763EBF" w:rsidRPr="004756F6">
        <w:rPr>
          <w:i/>
          <w:lang w:val="en-US" w:bidi="en-US"/>
        </w:rPr>
        <w:t>p</w:t>
      </w:r>
      <w:r w:rsidRPr="004756F6">
        <w:rPr>
          <w:i/>
          <w:lang w:val="en-US" w:bidi="en-US"/>
        </w:rPr>
        <w:t xml:space="preserve">olitics; Civil </w:t>
      </w:r>
      <w:r w:rsidR="00763EBF" w:rsidRPr="004756F6">
        <w:rPr>
          <w:i/>
          <w:lang w:val="en-US" w:bidi="en-US"/>
        </w:rPr>
        <w:t>d</w:t>
      </w:r>
      <w:r w:rsidRPr="004756F6">
        <w:rPr>
          <w:i/>
          <w:lang w:val="en-US" w:bidi="en-US"/>
        </w:rPr>
        <w:t xml:space="preserve">isobedience; On </w:t>
      </w:r>
      <w:r w:rsidR="00763EBF" w:rsidRPr="004756F6">
        <w:rPr>
          <w:i/>
          <w:lang w:val="en-US" w:bidi="en-US"/>
        </w:rPr>
        <w:t>v</w:t>
      </w:r>
      <w:r w:rsidRPr="004756F6">
        <w:rPr>
          <w:i/>
          <w:lang w:val="en-US" w:bidi="en-US"/>
        </w:rPr>
        <w:t xml:space="preserve">iolence; Thoughts on </w:t>
      </w:r>
      <w:r w:rsidR="00763EBF" w:rsidRPr="004756F6">
        <w:rPr>
          <w:i/>
          <w:lang w:val="en-US" w:bidi="en-US"/>
        </w:rPr>
        <w:t>p</w:t>
      </w:r>
      <w:r w:rsidRPr="004756F6">
        <w:rPr>
          <w:i/>
          <w:lang w:val="en-US" w:bidi="en-US"/>
        </w:rPr>
        <w:t xml:space="preserve">olitics and </w:t>
      </w:r>
      <w:r w:rsidR="00763EBF" w:rsidRPr="004756F6">
        <w:rPr>
          <w:i/>
          <w:lang w:val="en-US" w:bidi="en-US"/>
        </w:rPr>
        <w:t>r</w:t>
      </w:r>
      <w:r w:rsidRPr="004756F6">
        <w:rPr>
          <w:i/>
          <w:lang w:val="en-US" w:bidi="en-US"/>
        </w:rPr>
        <w:t>evolution</w:t>
      </w:r>
      <w:r w:rsidRPr="00413FEF">
        <w:rPr>
          <w:lang w:val="en-US" w:bidi="en-US"/>
        </w:rPr>
        <w:t>. Harcourt Brace &amp; Co.</w:t>
      </w:r>
    </w:p>
    <w:p w14:paraId="4DC1C931" w14:textId="7960ABC0" w:rsidR="00887227" w:rsidRPr="00413FEF" w:rsidRDefault="00887227" w:rsidP="00947ED3">
      <w:pPr>
        <w:spacing w:line="360" w:lineRule="auto"/>
        <w:rPr>
          <w:lang w:val="en-US" w:bidi="en-US"/>
        </w:rPr>
      </w:pPr>
      <w:r w:rsidRPr="00413FEF">
        <w:rPr>
          <w:lang w:val="en-US" w:bidi="en-US"/>
        </w:rPr>
        <w:t>Baghramian, M.</w:t>
      </w:r>
      <w:r w:rsidR="0063784B">
        <w:rPr>
          <w:lang w:val="en-US" w:bidi="en-US"/>
        </w:rPr>
        <w:t>, &amp;</w:t>
      </w:r>
      <w:r w:rsidRPr="00413FEF">
        <w:rPr>
          <w:lang w:val="en-US" w:bidi="en-US"/>
        </w:rPr>
        <w:t xml:space="preserve"> Martini, C. (2018)</w:t>
      </w:r>
      <w:r w:rsidR="0063784B">
        <w:rPr>
          <w:lang w:val="en-US" w:bidi="en-US"/>
        </w:rPr>
        <w:t>.</w:t>
      </w:r>
      <w:r w:rsidRPr="00413FEF">
        <w:rPr>
          <w:lang w:val="en-US" w:bidi="en-US"/>
        </w:rPr>
        <w:t xml:space="preserve"> Expertise and </w:t>
      </w:r>
      <w:r w:rsidR="0063784B">
        <w:rPr>
          <w:lang w:val="en-US" w:bidi="en-US"/>
        </w:rPr>
        <w:t>e</w:t>
      </w:r>
      <w:r w:rsidRPr="00413FEF">
        <w:rPr>
          <w:lang w:val="en-US" w:bidi="en-US"/>
        </w:rPr>
        <w:t xml:space="preserve">xpert </w:t>
      </w:r>
      <w:r w:rsidR="0063784B">
        <w:rPr>
          <w:lang w:val="en-US" w:bidi="en-US"/>
        </w:rPr>
        <w:t>k</w:t>
      </w:r>
      <w:r w:rsidRPr="00413FEF">
        <w:rPr>
          <w:lang w:val="en-US" w:bidi="en-US"/>
        </w:rPr>
        <w:t>nowledge</w:t>
      </w:r>
      <w:r w:rsidR="0063784B">
        <w:rPr>
          <w:lang w:val="en-US" w:bidi="en-US"/>
        </w:rPr>
        <w:t>. [S</w:t>
      </w:r>
      <w:r w:rsidRPr="00413FEF">
        <w:rPr>
          <w:lang w:val="en-US" w:bidi="en-US"/>
        </w:rPr>
        <w:t>pecial issue</w:t>
      </w:r>
      <w:proofErr w:type="gramStart"/>
      <w:r w:rsidR="0063784B">
        <w:rPr>
          <w:lang w:val="en-US" w:bidi="en-US"/>
        </w:rPr>
        <w:t>].</w:t>
      </w:r>
      <w:r w:rsidRPr="00413FEF">
        <w:rPr>
          <w:i/>
          <w:iCs/>
          <w:lang w:val="en-US" w:bidi="en-US"/>
        </w:rPr>
        <w:t>Social</w:t>
      </w:r>
      <w:proofErr w:type="gramEnd"/>
      <w:r w:rsidRPr="00413FEF">
        <w:rPr>
          <w:i/>
          <w:iCs/>
          <w:lang w:val="en-US" w:bidi="en-US"/>
        </w:rPr>
        <w:t xml:space="preserve"> Epistemology</w:t>
      </w:r>
      <w:r w:rsidRPr="00413FEF">
        <w:rPr>
          <w:lang w:val="en-US" w:bidi="en-US"/>
        </w:rPr>
        <w:t xml:space="preserve">, </w:t>
      </w:r>
      <w:r w:rsidRPr="004756F6">
        <w:rPr>
          <w:i/>
          <w:lang w:val="en-US" w:bidi="en-US"/>
        </w:rPr>
        <w:t>32</w:t>
      </w:r>
      <w:r w:rsidRPr="00413FEF">
        <w:rPr>
          <w:lang w:val="en-US" w:bidi="en-US"/>
        </w:rPr>
        <w:t xml:space="preserve">(6). </w:t>
      </w:r>
    </w:p>
    <w:p w14:paraId="6169EC1D" w14:textId="7887358D" w:rsidR="00AA0EE1" w:rsidRPr="00413FEF" w:rsidRDefault="00AA0EE1" w:rsidP="00AA0EE1">
      <w:pPr>
        <w:spacing w:line="360" w:lineRule="auto"/>
        <w:rPr>
          <w:lang w:val="en-US" w:bidi="en-US"/>
        </w:rPr>
      </w:pPr>
      <w:r w:rsidRPr="00D43888">
        <w:rPr>
          <w:lang w:val="it-IT"/>
        </w:rPr>
        <w:t xml:space="preserve">Baghramian, M., &amp; Caprioglio Panizza, S. (2022). </w:t>
      </w:r>
      <w:r w:rsidRPr="00D43888">
        <w:t>Scepticism and the value of distrust. </w:t>
      </w:r>
      <w:r w:rsidRPr="00D43888">
        <w:rPr>
          <w:i/>
          <w:iCs/>
        </w:rPr>
        <w:t>Inquiry</w:t>
      </w:r>
      <w:r w:rsidRPr="00D43888">
        <w:t xml:space="preserve">, 1–28. </w:t>
      </w:r>
      <w:r w:rsidRPr="00D43888">
        <w:fldChar w:fldCharType="begin"/>
      </w:r>
      <w:r w:rsidRPr="00413FEF">
        <w:instrText xml:space="preserve"> HYPERLINK "https://doi.org/10.1080/0020174X.2022.2135821" </w:instrText>
      </w:r>
      <w:r w:rsidRPr="00D43888">
        <w:fldChar w:fldCharType="separate"/>
      </w:r>
      <w:r w:rsidRPr="00D43888">
        <w:rPr>
          <w:rStyle w:val="Hyperlink"/>
        </w:rPr>
        <w:t>https://doi.org/10.1080/0020174X.2022.2135821</w:t>
      </w:r>
      <w:r w:rsidRPr="00D43888">
        <w:rPr>
          <w:rStyle w:val="Hyperlink"/>
        </w:rPr>
        <w:fldChar w:fldCharType="end"/>
      </w:r>
    </w:p>
    <w:p w14:paraId="3C3E6EC1" w14:textId="2299AB70" w:rsidR="005F5FA9" w:rsidRPr="00413FEF" w:rsidRDefault="00887227" w:rsidP="005F5FA9">
      <w:pPr>
        <w:spacing w:line="360" w:lineRule="auto"/>
        <w:rPr>
          <w:lang w:val="en-US" w:bidi="en-US"/>
        </w:rPr>
      </w:pPr>
      <w:r w:rsidRPr="00413FEF">
        <w:rPr>
          <w:lang w:val="en-US" w:bidi="en-US"/>
        </w:rPr>
        <w:t xml:space="preserve">Baghramian, </w:t>
      </w:r>
      <w:r w:rsidR="003D4D83" w:rsidRPr="00413FEF">
        <w:rPr>
          <w:lang w:val="en-US" w:bidi="en-US"/>
        </w:rPr>
        <w:t>M.</w:t>
      </w:r>
      <w:r w:rsidRPr="00413FEF">
        <w:rPr>
          <w:lang w:val="en-US" w:bidi="en-US"/>
        </w:rPr>
        <w:t xml:space="preserve">, </w:t>
      </w:r>
      <w:r w:rsidR="0063784B">
        <w:rPr>
          <w:lang w:val="en-US" w:bidi="en-US"/>
        </w:rPr>
        <w:t>&amp;</w:t>
      </w:r>
      <w:r w:rsidR="0063784B" w:rsidRPr="00413FEF">
        <w:rPr>
          <w:lang w:val="en-US" w:bidi="en-US"/>
        </w:rPr>
        <w:t xml:space="preserve"> </w:t>
      </w:r>
      <w:r w:rsidRPr="00413FEF">
        <w:rPr>
          <w:lang w:val="en-US" w:bidi="en-US"/>
        </w:rPr>
        <w:t>Croce</w:t>
      </w:r>
      <w:r w:rsidR="003D4D83" w:rsidRPr="00413FEF">
        <w:rPr>
          <w:lang w:val="en-US" w:bidi="en-US"/>
        </w:rPr>
        <w:t>, M</w:t>
      </w:r>
      <w:r w:rsidRPr="00413FEF">
        <w:rPr>
          <w:lang w:val="en-US" w:bidi="en-US"/>
        </w:rPr>
        <w:t xml:space="preserve">. </w:t>
      </w:r>
      <w:r w:rsidR="00726302" w:rsidRPr="00413FEF">
        <w:rPr>
          <w:lang w:val="en-US" w:bidi="en-US"/>
        </w:rPr>
        <w:t>(2021)</w:t>
      </w:r>
      <w:r w:rsidR="0063784B">
        <w:rPr>
          <w:lang w:val="en-US" w:bidi="en-US"/>
        </w:rPr>
        <w:t>.</w:t>
      </w:r>
      <w:r w:rsidR="00726302" w:rsidRPr="00413FEF">
        <w:rPr>
          <w:lang w:val="en-US" w:bidi="en-US"/>
        </w:rPr>
        <w:t xml:space="preserve"> </w:t>
      </w:r>
      <w:r w:rsidRPr="00413FEF">
        <w:rPr>
          <w:lang w:val="en-US" w:bidi="en-US"/>
        </w:rPr>
        <w:t xml:space="preserve">Experts, </w:t>
      </w:r>
      <w:r w:rsidR="0063784B">
        <w:rPr>
          <w:lang w:val="en-US" w:bidi="en-US"/>
        </w:rPr>
        <w:t>p</w:t>
      </w:r>
      <w:r w:rsidRPr="00413FEF">
        <w:rPr>
          <w:lang w:val="en-US" w:bidi="en-US"/>
        </w:rPr>
        <w:t xml:space="preserve">ublic </w:t>
      </w:r>
      <w:r w:rsidR="0063784B">
        <w:rPr>
          <w:lang w:val="en-US" w:bidi="en-US"/>
        </w:rPr>
        <w:t>p</w:t>
      </w:r>
      <w:r w:rsidRPr="00413FEF">
        <w:rPr>
          <w:lang w:val="en-US" w:bidi="en-US"/>
        </w:rPr>
        <w:t xml:space="preserve">olicy and the </w:t>
      </w:r>
      <w:r w:rsidR="0063784B">
        <w:rPr>
          <w:lang w:val="en-US" w:bidi="en-US"/>
        </w:rPr>
        <w:t>q</w:t>
      </w:r>
      <w:r w:rsidRPr="00413FEF">
        <w:rPr>
          <w:lang w:val="en-US" w:bidi="en-US"/>
        </w:rPr>
        <w:t xml:space="preserve">uestion of </w:t>
      </w:r>
      <w:r w:rsidR="0063784B">
        <w:rPr>
          <w:lang w:val="en-US" w:bidi="en-US"/>
        </w:rPr>
        <w:t>t</w:t>
      </w:r>
      <w:r w:rsidRPr="00413FEF">
        <w:rPr>
          <w:lang w:val="en-US" w:bidi="en-US"/>
        </w:rPr>
        <w:t xml:space="preserve">rust. In </w:t>
      </w:r>
      <w:r w:rsidR="00C3536B" w:rsidRPr="00413FEF">
        <w:rPr>
          <w:lang w:val="en-US" w:bidi="en-US"/>
        </w:rPr>
        <w:t>M</w:t>
      </w:r>
      <w:r w:rsidR="0063784B">
        <w:rPr>
          <w:lang w:val="en-US" w:bidi="en-US"/>
        </w:rPr>
        <w:t>.</w:t>
      </w:r>
      <w:r w:rsidR="00C3536B" w:rsidRPr="00413FEF">
        <w:rPr>
          <w:lang w:val="en-US" w:bidi="en-US"/>
        </w:rPr>
        <w:t xml:space="preserve"> Hannon </w:t>
      </w:r>
      <w:r w:rsidR="0063784B">
        <w:rPr>
          <w:lang w:val="en-US" w:bidi="en-US"/>
        </w:rPr>
        <w:t>&amp;</w:t>
      </w:r>
      <w:r w:rsidR="00C3536B" w:rsidRPr="00413FEF">
        <w:rPr>
          <w:lang w:val="en-US" w:bidi="en-US"/>
        </w:rPr>
        <w:t xml:space="preserve"> J</w:t>
      </w:r>
      <w:r w:rsidR="0063784B">
        <w:rPr>
          <w:lang w:val="en-US" w:bidi="en-US"/>
        </w:rPr>
        <w:t>.</w:t>
      </w:r>
      <w:r w:rsidR="00C3536B" w:rsidRPr="00413FEF">
        <w:rPr>
          <w:lang w:val="en-US" w:bidi="en-US"/>
        </w:rPr>
        <w:t xml:space="preserve"> De Ridder (</w:t>
      </w:r>
      <w:r w:rsidR="0063784B">
        <w:rPr>
          <w:lang w:val="en-US" w:bidi="en-US"/>
        </w:rPr>
        <w:t>E</w:t>
      </w:r>
      <w:r w:rsidR="00C3536B" w:rsidRPr="00413FEF">
        <w:rPr>
          <w:lang w:val="en-US" w:bidi="en-US"/>
        </w:rPr>
        <w:t>ds.).</w:t>
      </w:r>
      <w:r w:rsidR="00C3536B" w:rsidRPr="00413FEF">
        <w:rPr>
          <w:i/>
          <w:iCs/>
          <w:lang w:val="en-US" w:bidi="en-US"/>
        </w:rPr>
        <w:t xml:space="preserve"> </w:t>
      </w:r>
      <w:r w:rsidRPr="00413FEF">
        <w:rPr>
          <w:i/>
          <w:iCs/>
          <w:lang w:val="en-US" w:bidi="en-US"/>
        </w:rPr>
        <w:t xml:space="preserve">Routledge </w:t>
      </w:r>
      <w:r w:rsidR="0063784B">
        <w:rPr>
          <w:i/>
          <w:iCs/>
          <w:lang w:val="en-US" w:bidi="en-US"/>
        </w:rPr>
        <w:t>h</w:t>
      </w:r>
      <w:r w:rsidRPr="00413FEF">
        <w:rPr>
          <w:i/>
          <w:iCs/>
          <w:lang w:val="en-US" w:bidi="en-US"/>
        </w:rPr>
        <w:t xml:space="preserve">andbook of </w:t>
      </w:r>
      <w:r w:rsidR="0063784B">
        <w:rPr>
          <w:i/>
          <w:iCs/>
          <w:lang w:val="en-US" w:bidi="en-US"/>
        </w:rPr>
        <w:t>p</w:t>
      </w:r>
      <w:r w:rsidRPr="00413FEF">
        <w:rPr>
          <w:i/>
          <w:iCs/>
          <w:lang w:val="en-US" w:bidi="en-US"/>
        </w:rPr>
        <w:t xml:space="preserve">olitical </w:t>
      </w:r>
      <w:r w:rsidR="0063784B">
        <w:rPr>
          <w:i/>
          <w:iCs/>
          <w:lang w:val="en-US" w:bidi="en-US"/>
        </w:rPr>
        <w:t>e</w:t>
      </w:r>
      <w:r w:rsidRPr="00413FEF">
        <w:rPr>
          <w:i/>
          <w:iCs/>
          <w:lang w:val="en-US" w:bidi="en-US"/>
        </w:rPr>
        <w:t>pistemology</w:t>
      </w:r>
      <w:r w:rsidRPr="00413FEF">
        <w:rPr>
          <w:lang w:val="en-US" w:bidi="en-US"/>
        </w:rPr>
        <w:t>. Routledge.</w:t>
      </w:r>
    </w:p>
    <w:p w14:paraId="5D25956D" w14:textId="46410E8E" w:rsidR="00D17318" w:rsidRPr="00413FEF" w:rsidRDefault="00D17318" w:rsidP="00D17318">
      <w:pPr>
        <w:spacing w:line="360" w:lineRule="auto"/>
        <w:rPr>
          <w:lang w:val="en-US" w:bidi="en-US"/>
        </w:rPr>
      </w:pPr>
      <w:r w:rsidRPr="00413FEF">
        <w:rPr>
          <w:lang w:val="en-US" w:bidi="en-US"/>
        </w:rPr>
        <w:t>Baier, A. (1986)</w:t>
      </w:r>
      <w:r w:rsidR="00AA0EE1">
        <w:rPr>
          <w:lang w:val="en-US" w:bidi="en-US"/>
        </w:rPr>
        <w:t>.</w:t>
      </w:r>
      <w:r w:rsidRPr="00413FEF">
        <w:rPr>
          <w:lang w:val="en-US" w:bidi="en-US"/>
        </w:rPr>
        <w:t xml:space="preserve"> Trust and </w:t>
      </w:r>
      <w:r w:rsidR="00AA0EE1">
        <w:rPr>
          <w:lang w:val="en-US" w:bidi="en-US"/>
        </w:rPr>
        <w:t>a</w:t>
      </w:r>
      <w:r w:rsidRPr="00413FEF">
        <w:rPr>
          <w:lang w:val="en-US" w:bidi="en-US"/>
        </w:rPr>
        <w:t xml:space="preserve">ntitrust. </w:t>
      </w:r>
      <w:r w:rsidRPr="004756F6">
        <w:rPr>
          <w:i/>
          <w:lang w:val="en-US" w:bidi="en-US"/>
        </w:rPr>
        <w:t>Ethics</w:t>
      </w:r>
      <w:r w:rsidRPr="00413FEF">
        <w:rPr>
          <w:lang w:val="en-US" w:bidi="en-US"/>
        </w:rPr>
        <w:t xml:space="preserve"> </w:t>
      </w:r>
      <w:r w:rsidRPr="004756F6">
        <w:rPr>
          <w:i/>
          <w:lang w:val="en-US" w:bidi="en-US"/>
        </w:rPr>
        <w:t>96</w:t>
      </w:r>
      <w:r w:rsidRPr="00413FEF">
        <w:rPr>
          <w:lang w:val="en-US" w:bidi="en-US"/>
        </w:rPr>
        <w:t>(2): 231–60. https://doi.org/10.1086/292745.</w:t>
      </w:r>
    </w:p>
    <w:p w14:paraId="09C25B6C" w14:textId="77D6CEED" w:rsidR="00887227" w:rsidRPr="00413FEF" w:rsidRDefault="00887227" w:rsidP="00947ED3">
      <w:pPr>
        <w:spacing w:line="360" w:lineRule="auto"/>
        <w:rPr>
          <w:lang w:val="en-GB" w:bidi="en-US"/>
        </w:rPr>
      </w:pPr>
      <w:r w:rsidRPr="00413FEF">
        <w:rPr>
          <w:lang w:val="en-US" w:bidi="en-US"/>
        </w:rPr>
        <w:t xml:space="preserve">Baier, A. </w:t>
      </w:r>
      <w:r w:rsidR="00D17318" w:rsidRPr="00413FEF">
        <w:rPr>
          <w:lang w:val="en-US" w:bidi="en-US"/>
        </w:rPr>
        <w:t>(</w:t>
      </w:r>
      <w:r w:rsidRPr="00413FEF">
        <w:rPr>
          <w:lang w:val="en-US" w:bidi="en-US"/>
        </w:rPr>
        <w:t>2004</w:t>
      </w:r>
      <w:r w:rsidR="00D17318" w:rsidRPr="00413FEF">
        <w:rPr>
          <w:lang w:val="en-US" w:bidi="en-US"/>
        </w:rPr>
        <w:t>)</w:t>
      </w:r>
      <w:r w:rsidR="00AA0EE1">
        <w:rPr>
          <w:lang w:val="en-US" w:bidi="en-US"/>
        </w:rPr>
        <w:t>.</w:t>
      </w:r>
      <w:r w:rsidRPr="00413FEF">
        <w:rPr>
          <w:lang w:val="en-US" w:bidi="en-US"/>
        </w:rPr>
        <w:t xml:space="preserve"> Demoralization, </w:t>
      </w:r>
      <w:r w:rsidR="00AA0EE1">
        <w:rPr>
          <w:lang w:val="en-US" w:bidi="en-US"/>
        </w:rPr>
        <w:t>t</w:t>
      </w:r>
      <w:r w:rsidRPr="00413FEF">
        <w:rPr>
          <w:lang w:val="en-US" w:bidi="en-US"/>
        </w:rPr>
        <w:t xml:space="preserve">rust, and the </w:t>
      </w:r>
      <w:r w:rsidR="00AA0EE1">
        <w:rPr>
          <w:lang w:val="en-US" w:bidi="en-US"/>
        </w:rPr>
        <w:t>v</w:t>
      </w:r>
      <w:r w:rsidRPr="00413FEF">
        <w:rPr>
          <w:lang w:val="en-US" w:bidi="en-US"/>
        </w:rPr>
        <w:t>irtues</w:t>
      </w:r>
      <w:r w:rsidR="00AA0EE1">
        <w:rPr>
          <w:lang w:val="en-US" w:bidi="en-US"/>
        </w:rPr>
        <w:t>.</w:t>
      </w:r>
      <w:r w:rsidRPr="00413FEF">
        <w:rPr>
          <w:lang w:val="en-US" w:bidi="en-US"/>
        </w:rPr>
        <w:t xml:space="preserve"> In </w:t>
      </w:r>
      <w:r w:rsidR="00C3536B" w:rsidRPr="00413FEF">
        <w:rPr>
          <w:lang w:val="en-US" w:bidi="en-US"/>
        </w:rPr>
        <w:t>C</w:t>
      </w:r>
      <w:r w:rsidR="00AA0EE1">
        <w:rPr>
          <w:lang w:val="en-US" w:bidi="en-US"/>
        </w:rPr>
        <w:t>.</w:t>
      </w:r>
      <w:r w:rsidR="00C3536B" w:rsidRPr="00413FEF">
        <w:rPr>
          <w:lang w:val="en-US" w:bidi="en-US"/>
        </w:rPr>
        <w:t xml:space="preserve"> Calhoun (</w:t>
      </w:r>
      <w:r w:rsidR="00AA0EE1">
        <w:rPr>
          <w:lang w:val="en-US" w:bidi="en-US"/>
        </w:rPr>
        <w:t>E</w:t>
      </w:r>
      <w:r w:rsidR="00C3536B" w:rsidRPr="00413FEF">
        <w:rPr>
          <w:lang w:val="en-US" w:bidi="en-US"/>
        </w:rPr>
        <w:t>d.)</w:t>
      </w:r>
      <w:r w:rsidR="00AA0EE1">
        <w:rPr>
          <w:lang w:val="en-US" w:bidi="en-US"/>
        </w:rPr>
        <w:t>.</w:t>
      </w:r>
      <w:r w:rsidR="00C3536B" w:rsidRPr="00413FEF">
        <w:rPr>
          <w:lang w:val="en-US" w:bidi="en-US"/>
        </w:rPr>
        <w:t xml:space="preserve"> </w:t>
      </w:r>
      <w:r w:rsidRPr="00413FEF">
        <w:rPr>
          <w:i/>
          <w:iCs/>
          <w:lang w:val="en-US" w:bidi="en-US"/>
        </w:rPr>
        <w:t xml:space="preserve">Setting the </w:t>
      </w:r>
      <w:r w:rsidR="00AA0EE1">
        <w:rPr>
          <w:i/>
          <w:iCs/>
          <w:lang w:val="en-US" w:bidi="en-US"/>
        </w:rPr>
        <w:t>m</w:t>
      </w:r>
      <w:r w:rsidRPr="00413FEF">
        <w:rPr>
          <w:i/>
          <w:iCs/>
          <w:lang w:val="en-US" w:bidi="en-US"/>
        </w:rPr>
        <w:t xml:space="preserve">oral </w:t>
      </w:r>
      <w:r w:rsidR="00AA0EE1">
        <w:rPr>
          <w:i/>
          <w:iCs/>
          <w:lang w:val="en-US" w:bidi="en-US"/>
        </w:rPr>
        <w:t>c</w:t>
      </w:r>
      <w:r w:rsidRPr="00413FEF">
        <w:rPr>
          <w:i/>
          <w:iCs/>
          <w:lang w:val="en-US" w:bidi="en-US"/>
        </w:rPr>
        <w:t xml:space="preserve">ompass: Essays by </w:t>
      </w:r>
      <w:r w:rsidR="00AA0EE1">
        <w:rPr>
          <w:i/>
          <w:iCs/>
          <w:lang w:val="en-US" w:bidi="en-US"/>
        </w:rPr>
        <w:t>w</w:t>
      </w:r>
      <w:r w:rsidRPr="00413FEF">
        <w:rPr>
          <w:i/>
          <w:iCs/>
          <w:lang w:val="en-US" w:bidi="en-US"/>
        </w:rPr>
        <w:t xml:space="preserve">omen </w:t>
      </w:r>
      <w:r w:rsidR="00AA0EE1">
        <w:rPr>
          <w:i/>
          <w:iCs/>
          <w:lang w:val="en-US" w:bidi="en-US"/>
        </w:rPr>
        <w:t>p</w:t>
      </w:r>
      <w:r w:rsidRPr="00413FEF">
        <w:rPr>
          <w:i/>
          <w:iCs/>
          <w:lang w:val="en-US" w:bidi="en-US"/>
        </w:rPr>
        <w:t>hilosophers</w:t>
      </w:r>
      <w:r w:rsidR="00AA0EE1" w:rsidRPr="00AA0EE1">
        <w:rPr>
          <w:lang w:val="en-US" w:bidi="en-US"/>
        </w:rPr>
        <w:t xml:space="preserve"> </w:t>
      </w:r>
      <w:r w:rsidR="00AA0EE1" w:rsidRPr="00413FEF">
        <w:rPr>
          <w:lang w:val="en-US" w:bidi="en-US"/>
        </w:rPr>
        <w:t>pp. 176–189</w:t>
      </w:r>
      <w:r w:rsidR="00AA0EE1">
        <w:rPr>
          <w:lang w:val="en-US" w:bidi="en-US"/>
        </w:rPr>
        <w:t>.</w:t>
      </w:r>
      <w:r w:rsidRPr="00413FEF">
        <w:rPr>
          <w:lang w:val="en-US" w:bidi="en-US"/>
        </w:rPr>
        <w:t xml:space="preserve">  Oxford University </w:t>
      </w:r>
      <w:proofErr w:type="gramStart"/>
      <w:r w:rsidRPr="00413FEF">
        <w:rPr>
          <w:lang w:val="en-US" w:bidi="en-US"/>
        </w:rPr>
        <w:t>Press,.</w:t>
      </w:r>
      <w:proofErr w:type="gramEnd"/>
    </w:p>
    <w:p w14:paraId="383F8867" w14:textId="5B0EA7BA" w:rsidR="00887227" w:rsidRPr="00413FEF" w:rsidRDefault="00887227" w:rsidP="00947ED3">
      <w:pPr>
        <w:spacing w:line="360" w:lineRule="auto"/>
        <w:rPr>
          <w:lang w:val="en-US" w:bidi="en-US"/>
        </w:rPr>
      </w:pPr>
      <w:r w:rsidRPr="00413FEF">
        <w:rPr>
          <w:lang w:val="en-US" w:bidi="en-US"/>
        </w:rPr>
        <w:t xml:space="preserve">Becker, </w:t>
      </w:r>
      <w:r w:rsidR="003D4D83" w:rsidRPr="00413FEF">
        <w:rPr>
          <w:lang w:val="en-US" w:bidi="en-US"/>
        </w:rPr>
        <w:t xml:space="preserve">L. </w:t>
      </w:r>
      <w:r w:rsidRPr="00413FEF">
        <w:rPr>
          <w:lang w:val="en-US" w:bidi="en-US"/>
        </w:rPr>
        <w:t xml:space="preserve">C. </w:t>
      </w:r>
      <w:r w:rsidR="00D17318" w:rsidRPr="00413FEF">
        <w:rPr>
          <w:lang w:val="en-US" w:bidi="en-US"/>
        </w:rPr>
        <w:t>(</w:t>
      </w:r>
      <w:r w:rsidRPr="00413FEF">
        <w:rPr>
          <w:lang w:val="en-US" w:bidi="en-US"/>
        </w:rPr>
        <w:t>1996</w:t>
      </w:r>
      <w:r w:rsidR="00D17318" w:rsidRPr="00413FEF">
        <w:rPr>
          <w:lang w:val="en-US" w:bidi="en-US"/>
        </w:rPr>
        <w:t>)</w:t>
      </w:r>
      <w:r w:rsidR="00F425EA">
        <w:rPr>
          <w:lang w:val="en-US" w:bidi="en-US"/>
        </w:rPr>
        <w:t>.</w:t>
      </w:r>
      <w:r w:rsidRPr="00413FEF">
        <w:rPr>
          <w:lang w:val="en-US" w:bidi="en-US"/>
        </w:rPr>
        <w:t xml:space="preserve"> Trust as </w:t>
      </w:r>
      <w:r w:rsidR="00F425EA">
        <w:rPr>
          <w:lang w:val="en-US" w:bidi="en-US"/>
        </w:rPr>
        <w:t>n</w:t>
      </w:r>
      <w:r w:rsidRPr="00413FEF">
        <w:rPr>
          <w:lang w:val="en-US" w:bidi="en-US"/>
        </w:rPr>
        <w:t xml:space="preserve">oncognitive </w:t>
      </w:r>
      <w:r w:rsidR="00F425EA">
        <w:rPr>
          <w:lang w:val="en-US" w:bidi="en-US"/>
        </w:rPr>
        <w:t>s</w:t>
      </w:r>
      <w:r w:rsidRPr="00413FEF">
        <w:rPr>
          <w:lang w:val="en-US" w:bidi="en-US"/>
        </w:rPr>
        <w:t xml:space="preserve">ecurity about </w:t>
      </w:r>
      <w:r w:rsidR="00F425EA">
        <w:rPr>
          <w:lang w:val="en-US" w:bidi="en-US"/>
        </w:rPr>
        <w:t>m</w:t>
      </w:r>
      <w:r w:rsidRPr="00413FEF">
        <w:rPr>
          <w:lang w:val="en-US" w:bidi="en-US"/>
        </w:rPr>
        <w:t xml:space="preserve">otives. </w:t>
      </w:r>
      <w:r w:rsidRPr="004756F6">
        <w:rPr>
          <w:i/>
          <w:lang w:val="en-US" w:bidi="en-US"/>
        </w:rPr>
        <w:t>Ethics</w:t>
      </w:r>
      <w:r w:rsidRPr="00413FEF">
        <w:rPr>
          <w:lang w:val="en-US" w:bidi="en-US"/>
        </w:rPr>
        <w:t xml:space="preserve"> </w:t>
      </w:r>
      <w:r w:rsidRPr="004756F6">
        <w:rPr>
          <w:i/>
          <w:lang w:val="en-US" w:bidi="en-US"/>
        </w:rPr>
        <w:t>107</w:t>
      </w:r>
      <w:r w:rsidRPr="00413FEF">
        <w:rPr>
          <w:lang w:val="en-US" w:bidi="en-US"/>
        </w:rPr>
        <w:t>(1)</w:t>
      </w:r>
      <w:r w:rsidR="00F425EA">
        <w:rPr>
          <w:lang w:val="en-US" w:bidi="en-US"/>
        </w:rPr>
        <w:t>,</w:t>
      </w:r>
      <w:r w:rsidRPr="00413FEF">
        <w:rPr>
          <w:lang w:val="en-US" w:bidi="en-US"/>
        </w:rPr>
        <w:t xml:space="preserve"> 43–61.</w:t>
      </w:r>
    </w:p>
    <w:p w14:paraId="7860B500" w14:textId="0FF213E9" w:rsidR="00887227" w:rsidRPr="00413FEF" w:rsidRDefault="00887227" w:rsidP="00947ED3">
      <w:pPr>
        <w:spacing w:line="360" w:lineRule="auto"/>
        <w:rPr>
          <w:lang w:val="en-US" w:bidi="en-US"/>
        </w:rPr>
      </w:pPr>
      <w:r w:rsidRPr="00413FEF">
        <w:rPr>
          <w:lang w:val="en-US" w:bidi="en-US"/>
        </w:rPr>
        <w:t>Booth, K</w:t>
      </w:r>
      <w:r w:rsidR="00F425EA">
        <w:rPr>
          <w:lang w:val="en-US" w:bidi="en-US"/>
        </w:rPr>
        <w:t>.</w:t>
      </w:r>
      <w:r w:rsidRPr="00413FEF">
        <w:rPr>
          <w:lang w:val="en-US" w:bidi="en-US"/>
        </w:rPr>
        <w:t xml:space="preserve">, </w:t>
      </w:r>
      <w:r w:rsidR="00F425EA">
        <w:rPr>
          <w:lang w:val="en-US" w:bidi="en-US"/>
        </w:rPr>
        <w:t>&amp;</w:t>
      </w:r>
      <w:r w:rsidR="00F425EA" w:rsidRPr="00413FEF">
        <w:rPr>
          <w:lang w:val="en-US" w:bidi="en-US"/>
        </w:rPr>
        <w:t xml:space="preserve"> </w:t>
      </w:r>
      <w:r w:rsidRPr="00413FEF">
        <w:rPr>
          <w:lang w:val="en-US" w:bidi="en-US"/>
        </w:rPr>
        <w:t>Wheeler</w:t>
      </w:r>
      <w:r w:rsidR="00F425EA">
        <w:rPr>
          <w:lang w:val="en-US" w:bidi="en-US"/>
        </w:rPr>
        <w:t xml:space="preserve"> N.</w:t>
      </w:r>
      <w:r w:rsidR="00D17318" w:rsidRPr="00413FEF">
        <w:rPr>
          <w:lang w:val="en-US" w:bidi="en-US"/>
        </w:rPr>
        <w:t xml:space="preserve"> (</w:t>
      </w:r>
      <w:r w:rsidRPr="00413FEF">
        <w:rPr>
          <w:lang w:val="en-US" w:bidi="en-US"/>
        </w:rPr>
        <w:t>2007</w:t>
      </w:r>
      <w:r w:rsidR="00D17318" w:rsidRPr="00413FEF">
        <w:rPr>
          <w:lang w:val="en-US" w:bidi="en-US"/>
        </w:rPr>
        <w:t>)</w:t>
      </w:r>
      <w:r w:rsidR="00F425EA">
        <w:rPr>
          <w:lang w:val="en-US" w:bidi="en-US"/>
        </w:rPr>
        <w:t>.</w:t>
      </w:r>
      <w:r w:rsidRPr="00413FEF">
        <w:rPr>
          <w:lang w:val="en-US" w:bidi="en-US"/>
        </w:rPr>
        <w:t xml:space="preserve"> </w:t>
      </w:r>
      <w:r w:rsidRPr="004756F6">
        <w:rPr>
          <w:i/>
          <w:lang w:val="en-US" w:bidi="en-US"/>
        </w:rPr>
        <w:t xml:space="preserve">The </w:t>
      </w:r>
      <w:r w:rsidR="00F425EA" w:rsidRPr="004756F6">
        <w:rPr>
          <w:i/>
          <w:lang w:val="en-US" w:bidi="en-US"/>
        </w:rPr>
        <w:t>s</w:t>
      </w:r>
      <w:r w:rsidRPr="004756F6">
        <w:rPr>
          <w:i/>
          <w:lang w:val="en-US" w:bidi="en-US"/>
        </w:rPr>
        <w:t xml:space="preserve">ecurity </w:t>
      </w:r>
      <w:r w:rsidR="00F425EA" w:rsidRPr="004756F6">
        <w:rPr>
          <w:i/>
          <w:lang w:val="en-US" w:bidi="en-US"/>
        </w:rPr>
        <w:t>d</w:t>
      </w:r>
      <w:r w:rsidRPr="004756F6">
        <w:rPr>
          <w:i/>
          <w:lang w:val="en-US" w:bidi="en-US"/>
        </w:rPr>
        <w:t xml:space="preserve">ilemma: Fear, </w:t>
      </w:r>
      <w:r w:rsidR="00F425EA" w:rsidRPr="004756F6">
        <w:rPr>
          <w:i/>
          <w:lang w:val="en-US" w:bidi="en-US"/>
        </w:rPr>
        <w:t>c</w:t>
      </w:r>
      <w:r w:rsidRPr="004756F6">
        <w:rPr>
          <w:i/>
          <w:lang w:val="en-US" w:bidi="en-US"/>
        </w:rPr>
        <w:t xml:space="preserve">ooperation and </w:t>
      </w:r>
      <w:r w:rsidR="00F425EA" w:rsidRPr="004756F6">
        <w:rPr>
          <w:i/>
          <w:lang w:val="en-US" w:bidi="en-US"/>
        </w:rPr>
        <w:t>t</w:t>
      </w:r>
      <w:r w:rsidRPr="004756F6">
        <w:rPr>
          <w:i/>
          <w:lang w:val="en-US" w:bidi="en-US"/>
        </w:rPr>
        <w:t xml:space="preserve">rust in </w:t>
      </w:r>
      <w:r w:rsidR="00F425EA" w:rsidRPr="004756F6">
        <w:rPr>
          <w:i/>
          <w:lang w:val="en-US" w:bidi="en-US"/>
        </w:rPr>
        <w:t>w</w:t>
      </w:r>
      <w:r w:rsidRPr="004756F6">
        <w:rPr>
          <w:i/>
          <w:lang w:val="en-US" w:bidi="en-US"/>
        </w:rPr>
        <w:t xml:space="preserve">orld </w:t>
      </w:r>
      <w:r w:rsidR="00F425EA" w:rsidRPr="004756F6">
        <w:rPr>
          <w:i/>
          <w:lang w:val="en-US" w:bidi="en-US"/>
        </w:rPr>
        <w:t>p</w:t>
      </w:r>
      <w:r w:rsidRPr="004756F6">
        <w:rPr>
          <w:i/>
          <w:lang w:val="en-US" w:bidi="en-US"/>
        </w:rPr>
        <w:t>olitics.</w:t>
      </w:r>
      <w:r w:rsidR="00F425EA" w:rsidRPr="00F425EA">
        <w:t xml:space="preserve"> </w:t>
      </w:r>
      <w:r w:rsidR="00F425EA">
        <w:t>Palgrave Macmillan.</w:t>
      </w:r>
    </w:p>
    <w:p w14:paraId="1340A409" w14:textId="0BAA2A9C" w:rsidR="00887227" w:rsidRPr="00413FEF" w:rsidRDefault="00887227" w:rsidP="00947ED3">
      <w:pPr>
        <w:spacing w:line="360" w:lineRule="auto"/>
        <w:rPr>
          <w:lang w:val="en-US" w:bidi="en-US"/>
        </w:rPr>
      </w:pPr>
      <w:r w:rsidRPr="00413FEF">
        <w:rPr>
          <w:lang w:val="en-US" w:bidi="en-US"/>
        </w:rPr>
        <w:t>Brennan, J. (2020)</w:t>
      </w:r>
      <w:r w:rsidR="00F425EA">
        <w:rPr>
          <w:lang w:val="en-US" w:bidi="en-US"/>
        </w:rPr>
        <w:t>.</w:t>
      </w:r>
      <w:r w:rsidRPr="00413FEF">
        <w:rPr>
          <w:lang w:val="en-US" w:bidi="en-US"/>
        </w:rPr>
        <w:t xml:space="preserve"> Can </w:t>
      </w:r>
      <w:r w:rsidR="00F425EA">
        <w:rPr>
          <w:lang w:val="en-US" w:bidi="en-US"/>
        </w:rPr>
        <w:t>n</w:t>
      </w:r>
      <w:r w:rsidRPr="00413FEF">
        <w:rPr>
          <w:lang w:val="en-US" w:bidi="en-US"/>
        </w:rPr>
        <w:t xml:space="preserve">ovices </w:t>
      </w:r>
      <w:r w:rsidR="00F425EA">
        <w:rPr>
          <w:lang w:val="en-US" w:bidi="en-US"/>
        </w:rPr>
        <w:t>t</w:t>
      </w:r>
      <w:r w:rsidRPr="00413FEF">
        <w:rPr>
          <w:lang w:val="en-US" w:bidi="en-US"/>
        </w:rPr>
        <w:t xml:space="preserve">rust </w:t>
      </w:r>
      <w:r w:rsidR="00F425EA">
        <w:rPr>
          <w:lang w:val="en-US" w:bidi="en-US"/>
        </w:rPr>
        <w:t>t</w:t>
      </w:r>
      <w:r w:rsidRPr="00413FEF">
        <w:rPr>
          <w:lang w:val="en-US" w:bidi="en-US"/>
        </w:rPr>
        <w:t xml:space="preserve">hemselves to </w:t>
      </w:r>
      <w:r w:rsidR="00F425EA">
        <w:rPr>
          <w:lang w:val="en-US" w:bidi="en-US"/>
        </w:rPr>
        <w:t>c</w:t>
      </w:r>
      <w:r w:rsidRPr="00413FEF">
        <w:rPr>
          <w:lang w:val="en-US" w:bidi="en-US"/>
        </w:rPr>
        <w:t xml:space="preserve">hoose </w:t>
      </w:r>
      <w:r w:rsidR="00F425EA">
        <w:rPr>
          <w:lang w:val="en-US" w:bidi="en-US"/>
        </w:rPr>
        <w:t>t</w:t>
      </w:r>
      <w:r w:rsidRPr="00413FEF">
        <w:rPr>
          <w:lang w:val="en-US" w:bidi="en-US"/>
        </w:rPr>
        <w:t xml:space="preserve">rustworthy </w:t>
      </w:r>
      <w:r w:rsidR="00F425EA">
        <w:rPr>
          <w:lang w:val="en-US" w:bidi="en-US"/>
        </w:rPr>
        <w:t>e</w:t>
      </w:r>
      <w:r w:rsidRPr="00413FEF">
        <w:rPr>
          <w:lang w:val="en-US" w:bidi="en-US"/>
        </w:rPr>
        <w:t>xperts? Reasons for (</w:t>
      </w:r>
      <w:r w:rsidR="00F425EA">
        <w:rPr>
          <w:lang w:val="en-US" w:bidi="en-US"/>
        </w:rPr>
        <w:t>r</w:t>
      </w:r>
      <w:r w:rsidRPr="00413FEF">
        <w:rPr>
          <w:lang w:val="en-US" w:bidi="en-US"/>
        </w:rPr>
        <w:t xml:space="preserve">eserved) </w:t>
      </w:r>
      <w:r w:rsidR="00F425EA">
        <w:rPr>
          <w:lang w:val="en-US" w:bidi="en-US"/>
        </w:rPr>
        <w:t>o</w:t>
      </w:r>
      <w:r w:rsidRPr="00413FEF">
        <w:rPr>
          <w:lang w:val="en-US" w:bidi="en-US"/>
        </w:rPr>
        <w:t>ptimism</w:t>
      </w:r>
      <w:r w:rsidR="00F425EA">
        <w:rPr>
          <w:lang w:val="en-US" w:bidi="en-US"/>
        </w:rPr>
        <w:t>.</w:t>
      </w:r>
      <w:r w:rsidRPr="00413FEF">
        <w:rPr>
          <w:lang w:val="en-US" w:bidi="en-US"/>
        </w:rPr>
        <w:t xml:space="preserve"> </w:t>
      </w:r>
      <w:r w:rsidRPr="00413FEF">
        <w:rPr>
          <w:i/>
          <w:iCs/>
          <w:lang w:val="en-US" w:bidi="en-US"/>
        </w:rPr>
        <w:t>Social Epistemology</w:t>
      </w:r>
      <w:r w:rsidRPr="00413FEF">
        <w:rPr>
          <w:lang w:val="en-US" w:bidi="en-US"/>
        </w:rPr>
        <w:t xml:space="preserve">, </w:t>
      </w:r>
      <w:r w:rsidRPr="004756F6">
        <w:rPr>
          <w:i/>
          <w:lang w:val="en-US" w:bidi="en-US"/>
        </w:rPr>
        <w:t>34</w:t>
      </w:r>
      <w:r w:rsidRPr="00413FEF">
        <w:rPr>
          <w:lang w:val="en-US" w:bidi="en-US"/>
        </w:rPr>
        <w:t>(3), 227-240.</w:t>
      </w:r>
    </w:p>
    <w:p w14:paraId="6CA1DBF9" w14:textId="05F4BD43" w:rsidR="00887227" w:rsidRPr="00413FEF" w:rsidRDefault="00887227" w:rsidP="00947ED3">
      <w:pPr>
        <w:spacing w:line="360" w:lineRule="auto"/>
        <w:rPr>
          <w:lang w:val="en-US" w:bidi="en-US"/>
        </w:rPr>
      </w:pPr>
      <w:proofErr w:type="spellStart"/>
      <w:r w:rsidRPr="00413FEF">
        <w:rPr>
          <w:lang w:val="en-US" w:bidi="en-US"/>
        </w:rPr>
        <w:t>Canovan</w:t>
      </w:r>
      <w:proofErr w:type="spellEnd"/>
      <w:r w:rsidRPr="00413FEF">
        <w:rPr>
          <w:lang w:val="en-US" w:bidi="en-US"/>
        </w:rPr>
        <w:t xml:space="preserve">, </w:t>
      </w:r>
      <w:r w:rsidR="003D4D83" w:rsidRPr="00413FEF">
        <w:rPr>
          <w:lang w:val="en-US" w:bidi="en-US"/>
        </w:rPr>
        <w:t xml:space="preserve">M. </w:t>
      </w:r>
      <w:r w:rsidRPr="00413FEF">
        <w:rPr>
          <w:lang w:val="en-US" w:bidi="en-US"/>
        </w:rPr>
        <w:t>(1999)</w:t>
      </w:r>
      <w:r w:rsidR="00F425EA">
        <w:rPr>
          <w:lang w:val="en-US" w:bidi="en-US"/>
        </w:rPr>
        <w:t>.</w:t>
      </w:r>
      <w:r w:rsidRPr="00413FEF">
        <w:rPr>
          <w:lang w:val="en-US" w:bidi="en-US"/>
        </w:rPr>
        <w:t xml:space="preserve"> Trust the people! Populism and the two faces of democracy</w:t>
      </w:r>
      <w:r w:rsidR="00F425EA">
        <w:rPr>
          <w:lang w:val="en-US" w:bidi="en-US"/>
        </w:rPr>
        <w:t>.</w:t>
      </w:r>
      <w:r w:rsidRPr="00413FEF">
        <w:rPr>
          <w:lang w:val="en-US" w:bidi="en-US"/>
        </w:rPr>
        <w:t xml:space="preserve"> </w:t>
      </w:r>
      <w:r w:rsidRPr="00413FEF">
        <w:rPr>
          <w:i/>
          <w:iCs/>
          <w:lang w:val="en-US" w:bidi="en-US"/>
        </w:rPr>
        <w:t>Political Studies</w:t>
      </w:r>
      <w:r w:rsidR="00F425EA">
        <w:rPr>
          <w:i/>
          <w:iCs/>
          <w:lang w:val="en-US" w:bidi="en-US"/>
        </w:rPr>
        <w:t>,</w:t>
      </w:r>
      <w:r w:rsidRPr="00413FEF">
        <w:rPr>
          <w:lang w:val="en-US" w:bidi="en-US"/>
        </w:rPr>
        <w:t xml:space="preserve"> </w:t>
      </w:r>
      <w:r w:rsidRPr="004756F6">
        <w:rPr>
          <w:i/>
          <w:lang w:val="en-US" w:bidi="en-US"/>
        </w:rPr>
        <w:t>47</w:t>
      </w:r>
      <w:r w:rsidRPr="00413FEF">
        <w:rPr>
          <w:lang w:val="en-US" w:bidi="en-US"/>
        </w:rPr>
        <w:t xml:space="preserve"> 2–16.</w:t>
      </w:r>
    </w:p>
    <w:p w14:paraId="3B48D413" w14:textId="188BDEAB" w:rsidR="00887227" w:rsidRPr="00413FEF" w:rsidRDefault="00887227" w:rsidP="00947ED3">
      <w:pPr>
        <w:spacing w:line="360" w:lineRule="auto"/>
        <w:rPr>
          <w:lang w:val="en-US" w:bidi="en-US"/>
        </w:rPr>
      </w:pPr>
      <w:r w:rsidRPr="00413FEF">
        <w:rPr>
          <w:lang w:val="en-US" w:bidi="en-US"/>
        </w:rPr>
        <w:t xml:space="preserve">Code, L. </w:t>
      </w:r>
      <w:r w:rsidR="003D4D83" w:rsidRPr="00413FEF">
        <w:rPr>
          <w:lang w:val="en-US" w:bidi="en-US"/>
        </w:rPr>
        <w:t>(</w:t>
      </w:r>
      <w:r w:rsidRPr="00413FEF">
        <w:rPr>
          <w:lang w:val="en-US" w:bidi="en-US"/>
        </w:rPr>
        <w:t>2006</w:t>
      </w:r>
      <w:r w:rsidR="003D4D83" w:rsidRPr="00413FEF">
        <w:rPr>
          <w:lang w:val="en-US" w:bidi="en-US"/>
        </w:rPr>
        <w:t>)</w:t>
      </w:r>
      <w:r w:rsidR="00F425EA">
        <w:rPr>
          <w:lang w:val="en-US" w:bidi="en-US"/>
        </w:rPr>
        <w:t>.</w:t>
      </w:r>
      <w:r w:rsidRPr="00413FEF">
        <w:rPr>
          <w:lang w:val="en-US" w:bidi="en-US"/>
        </w:rPr>
        <w:t xml:space="preserve"> </w:t>
      </w:r>
      <w:r w:rsidRPr="004756F6">
        <w:rPr>
          <w:i/>
          <w:lang w:val="en-US" w:bidi="en-US"/>
        </w:rPr>
        <w:t xml:space="preserve">Ecological </w:t>
      </w:r>
      <w:r w:rsidR="00F425EA" w:rsidRPr="004756F6">
        <w:rPr>
          <w:i/>
          <w:lang w:val="en-US" w:bidi="en-US"/>
        </w:rPr>
        <w:t>t</w:t>
      </w:r>
      <w:r w:rsidRPr="004756F6">
        <w:rPr>
          <w:i/>
          <w:lang w:val="en-US" w:bidi="en-US"/>
        </w:rPr>
        <w:t xml:space="preserve">hinking: The </w:t>
      </w:r>
      <w:r w:rsidR="00F425EA">
        <w:rPr>
          <w:i/>
          <w:lang w:val="en-US" w:bidi="en-US"/>
        </w:rPr>
        <w:t>p</w:t>
      </w:r>
      <w:r w:rsidRPr="004756F6">
        <w:rPr>
          <w:i/>
          <w:lang w:val="en-US" w:bidi="en-US"/>
        </w:rPr>
        <w:t xml:space="preserve">olitics of </w:t>
      </w:r>
      <w:r w:rsidR="00F425EA">
        <w:rPr>
          <w:i/>
          <w:lang w:val="en-US" w:bidi="en-US"/>
        </w:rPr>
        <w:t>e</w:t>
      </w:r>
      <w:r w:rsidRPr="004756F6">
        <w:rPr>
          <w:i/>
          <w:lang w:val="en-US" w:bidi="en-US"/>
        </w:rPr>
        <w:t xml:space="preserve">pistemic </w:t>
      </w:r>
      <w:r w:rsidR="00F425EA">
        <w:rPr>
          <w:i/>
          <w:lang w:val="en-US" w:bidi="en-US"/>
        </w:rPr>
        <w:t>l</w:t>
      </w:r>
      <w:r w:rsidRPr="004756F6">
        <w:rPr>
          <w:i/>
          <w:lang w:val="en-US" w:bidi="en-US"/>
        </w:rPr>
        <w:t>ocation</w:t>
      </w:r>
      <w:r w:rsidRPr="00F425EA">
        <w:rPr>
          <w:lang w:val="en-US" w:bidi="en-US"/>
        </w:rPr>
        <w:t xml:space="preserve">. </w:t>
      </w:r>
      <w:r w:rsidR="00F425EA" w:rsidRPr="00F425EA">
        <w:rPr>
          <w:lang w:val="en-US" w:bidi="en-US"/>
        </w:rPr>
        <w:t>[</w:t>
      </w:r>
      <w:r w:rsidRPr="004756F6">
        <w:rPr>
          <w:iCs/>
          <w:lang w:val="en-US" w:bidi="en-US"/>
        </w:rPr>
        <w:t>Studies in Feminist Philosophy</w:t>
      </w:r>
      <w:r w:rsidR="00F425EA" w:rsidRPr="004756F6">
        <w:rPr>
          <w:iCs/>
          <w:lang w:val="en-US" w:bidi="en-US"/>
        </w:rPr>
        <w:t>]</w:t>
      </w:r>
      <w:r w:rsidRPr="004756F6">
        <w:rPr>
          <w:iCs/>
          <w:lang w:val="en-US" w:bidi="en-US"/>
        </w:rPr>
        <w:t>.</w:t>
      </w:r>
      <w:r w:rsidRPr="00F425EA">
        <w:rPr>
          <w:lang w:val="en-US" w:bidi="en-US"/>
        </w:rPr>
        <w:t xml:space="preserve"> </w:t>
      </w:r>
      <w:r w:rsidRPr="00413FEF">
        <w:rPr>
          <w:lang w:val="en-US" w:bidi="en-US"/>
        </w:rPr>
        <w:t>Oxford University Press.</w:t>
      </w:r>
    </w:p>
    <w:p w14:paraId="084BB1B2" w14:textId="47EC40AF" w:rsidR="003D4D83" w:rsidRPr="00413FEF" w:rsidRDefault="00887227" w:rsidP="00947ED3">
      <w:pPr>
        <w:spacing w:line="360" w:lineRule="auto"/>
        <w:rPr>
          <w:lang w:val="en-GB" w:bidi="en-US"/>
        </w:rPr>
      </w:pPr>
      <w:r w:rsidRPr="00413FEF">
        <w:rPr>
          <w:lang w:val="en-GB" w:bidi="en-US"/>
        </w:rPr>
        <w:t>Cohen, M</w:t>
      </w:r>
      <w:r w:rsidR="006C7FC3">
        <w:rPr>
          <w:lang w:val="en-GB" w:bidi="en-US"/>
        </w:rPr>
        <w:t>.</w:t>
      </w:r>
      <w:r w:rsidRPr="00413FEF">
        <w:rPr>
          <w:lang w:val="en-GB" w:bidi="en-US"/>
        </w:rPr>
        <w:t xml:space="preserve"> A.</w:t>
      </w:r>
      <w:r w:rsidR="006C7FC3">
        <w:rPr>
          <w:lang w:val="en-GB" w:bidi="en-US"/>
        </w:rPr>
        <w:t xml:space="preserve">, &amp; </w:t>
      </w:r>
      <w:r w:rsidRPr="00413FEF">
        <w:rPr>
          <w:lang w:val="en-GB" w:bidi="en-US"/>
        </w:rPr>
        <w:t>Dienhart</w:t>
      </w:r>
      <w:r w:rsidR="006C7FC3">
        <w:rPr>
          <w:lang w:val="en-GB" w:bidi="en-US"/>
        </w:rPr>
        <w:t xml:space="preserve"> J.</w:t>
      </w:r>
      <w:r w:rsidRPr="00413FEF">
        <w:rPr>
          <w:lang w:val="en-GB" w:bidi="en-US"/>
        </w:rPr>
        <w:t xml:space="preserve"> </w:t>
      </w:r>
      <w:r w:rsidR="003D4D83" w:rsidRPr="00413FEF">
        <w:rPr>
          <w:lang w:val="en-GB" w:bidi="en-US"/>
        </w:rPr>
        <w:t>(</w:t>
      </w:r>
      <w:r w:rsidRPr="00413FEF">
        <w:rPr>
          <w:lang w:val="en-GB" w:bidi="en-US"/>
        </w:rPr>
        <w:t>2013</w:t>
      </w:r>
      <w:r w:rsidR="003D4D83" w:rsidRPr="00413FEF">
        <w:rPr>
          <w:lang w:val="en-GB" w:bidi="en-US"/>
        </w:rPr>
        <w:t>)</w:t>
      </w:r>
      <w:r w:rsidR="006C7FC3">
        <w:rPr>
          <w:lang w:val="en-GB" w:bidi="en-US"/>
        </w:rPr>
        <w:t>.</w:t>
      </w:r>
      <w:r w:rsidRPr="00413FEF">
        <w:rPr>
          <w:lang w:val="en-GB" w:bidi="en-US"/>
        </w:rPr>
        <w:t xml:space="preserve"> Moral and </w:t>
      </w:r>
      <w:r w:rsidR="006C7FC3">
        <w:rPr>
          <w:lang w:val="en-GB" w:bidi="en-US"/>
        </w:rPr>
        <w:t>a</w:t>
      </w:r>
      <w:r w:rsidRPr="00413FEF">
        <w:rPr>
          <w:lang w:val="en-GB" w:bidi="en-US"/>
        </w:rPr>
        <w:t xml:space="preserve">moral </w:t>
      </w:r>
      <w:r w:rsidR="006C7FC3">
        <w:rPr>
          <w:lang w:val="en-GB" w:bidi="en-US"/>
        </w:rPr>
        <w:t>c</w:t>
      </w:r>
      <w:r w:rsidRPr="00413FEF">
        <w:rPr>
          <w:lang w:val="en-GB" w:bidi="en-US"/>
        </w:rPr>
        <w:t xml:space="preserve">onceptions of </w:t>
      </w:r>
      <w:r w:rsidR="006C7FC3">
        <w:rPr>
          <w:lang w:val="en-GB" w:bidi="en-US"/>
        </w:rPr>
        <w:t>t</w:t>
      </w:r>
      <w:r w:rsidRPr="00413FEF">
        <w:rPr>
          <w:lang w:val="en-GB" w:bidi="en-US"/>
        </w:rPr>
        <w:t xml:space="preserve">rust, with an </w:t>
      </w:r>
      <w:r w:rsidR="006C7FC3">
        <w:rPr>
          <w:lang w:val="en-GB" w:bidi="en-US"/>
        </w:rPr>
        <w:t>a</w:t>
      </w:r>
      <w:r w:rsidRPr="00413FEF">
        <w:rPr>
          <w:lang w:val="en-GB" w:bidi="en-US"/>
        </w:rPr>
        <w:t xml:space="preserve">pplication in </w:t>
      </w:r>
      <w:r w:rsidR="006C7FC3">
        <w:rPr>
          <w:lang w:val="en-GB" w:bidi="en-US"/>
        </w:rPr>
        <w:t>o</w:t>
      </w:r>
      <w:r w:rsidRPr="00413FEF">
        <w:rPr>
          <w:lang w:val="en-GB" w:bidi="en-US"/>
        </w:rPr>
        <w:t xml:space="preserve">rganizational </w:t>
      </w:r>
      <w:r w:rsidR="006C7FC3">
        <w:rPr>
          <w:lang w:val="en-GB" w:bidi="en-US"/>
        </w:rPr>
        <w:t>e</w:t>
      </w:r>
      <w:r w:rsidRPr="00413FEF">
        <w:rPr>
          <w:lang w:val="en-GB" w:bidi="en-US"/>
        </w:rPr>
        <w:t>thics</w:t>
      </w:r>
      <w:r w:rsidR="006C7FC3">
        <w:rPr>
          <w:lang w:val="en-GB" w:bidi="en-US"/>
        </w:rPr>
        <w:t>.</w:t>
      </w:r>
      <w:r w:rsidRPr="00413FEF">
        <w:rPr>
          <w:lang w:val="en-GB" w:bidi="en-US"/>
        </w:rPr>
        <w:t> </w:t>
      </w:r>
      <w:r w:rsidRPr="00413FEF">
        <w:rPr>
          <w:i/>
          <w:iCs/>
          <w:lang w:val="en-GB" w:bidi="en-US"/>
        </w:rPr>
        <w:t>Journal of Business Ethics</w:t>
      </w:r>
      <w:r w:rsidRPr="00413FEF">
        <w:rPr>
          <w:lang w:val="en-GB" w:bidi="en-US"/>
        </w:rPr>
        <w:t xml:space="preserve">, </w:t>
      </w:r>
      <w:r w:rsidRPr="004756F6">
        <w:rPr>
          <w:i/>
          <w:lang w:val="en-GB" w:bidi="en-US"/>
        </w:rPr>
        <w:t>112</w:t>
      </w:r>
      <w:r w:rsidRPr="00413FEF">
        <w:rPr>
          <w:lang w:val="en-GB" w:bidi="en-US"/>
        </w:rPr>
        <w:t>(1): 1–13. doi:10.1007/s10551-012-1218-5.</w:t>
      </w:r>
    </w:p>
    <w:p w14:paraId="4761713B" w14:textId="09BCF95A" w:rsidR="003D4D83" w:rsidRPr="00413FEF" w:rsidRDefault="00F961B8" w:rsidP="00866C4D">
      <w:pPr>
        <w:spacing w:line="360" w:lineRule="auto"/>
        <w:rPr>
          <w:lang w:val="en-GB"/>
        </w:rPr>
      </w:pPr>
      <w:r w:rsidRPr="00413FEF">
        <w:t>Croce, M., &amp; Baghramian, M. (2024)</w:t>
      </w:r>
      <w:r w:rsidR="006C7FC3">
        <w:t>.</w:t>
      </w:r>
      <w:r w:rsidRPr="00413FEF">
        <w:t xml:space="preserve"> Experts – part I: What they are and how to identify them. </w:t>
      </w:r>
      <w:r w:rsidRPr="00413FEF">
        <w:rPr>
          <w:i/>
          <w:iCs/>
        </w:rPr>
        <w:t>Philosophy Compass</w:t>
      </w:r>
      <w:r w:rsidRPr="00413FEF">
        <w:t>, e13009. </w:t>
      </w:r>
      <w:r w:rsidR="00700FD5" w:rsidRPr="001B39C5">
        <w:fldChar w:fldCharType="begin"/>
      </w:r>
      <w:r w:rsidR="00700FD5" w:rsidRPr="00413FEF">
        <w:instrText xml:space="preserve"> HYPERLINK "https://doi.org/10.1111/phc3.13009" </w:instrText>
      </w:r>
      <w:r w:rsidR="00700FD5" w:rsidRPr="004756F6">
        <w:fldChar w:fldCharType="separate"/>
      </w:r>
      <w:r w:rsidRPr="00413FEF">
        <w:rPr>
          <w:rStyle w:val="Hyperlink"/>
        </w:rPr>
        <w:t>https://doi.org/10.1111/phc3.13009</w:t>
      </w:r>
      <w:r w:rsidR="00700FD5" w:rsidRPr="001B39C5">
        <w:rPr>
          <w:rStyle w:val="Hyperlink"/>
        </w:rPr>
        <w:fldChar w:fldCharType="end"/>
      </w:r>
      <w:r w:rsidRPr="00413FEF">
        <w:rPr>
          <w:lang w:val="en-GB"/>
        </w:rPr>
        <w:t xml:space="preserve"> </w:t>
      </w:r>
    </w:p>
    <w:p w14:paraId="3BA95CB7" w14:textId="15893C4D" w:rsidR="00F961B8" w:rsidRPr="00413FEF" w:rsidRDefault="005F5FA9" w:rsidP="00866C4D">
      <w:pPr>
        <w:spacing w:line="360" w:lineRule="auto"/>
        <w:rPr>
          <w:lang w:val="en-GB"/>
        </w:rPr>
      </w:pPr>
      <w:r w:rsidRPr="00413FEF">
        <w:lastRenderedPageBreak/>
        <w:t>Croce, M., &amp; Baghramian, M. (2024)</w:t>
      </w:r>
      <w:r w:rsidR="00DD22A7">
        <w:t>.</w:t>
      </w:r>
      <w:r w:rsidRPr="00413FEF">
        <w:t xml:space="preserve"> </w:t>
      </w:r>
      <w:r w:rsidR="00F961B8" w:rsidRPr="00413FEF">
        <w:t>Experts</w:t>
      </w:r>
      <w:r w:rsidR="00DD22A7">
        <w:t xml:space="preserve"> </w:t>
      </w:r>
      <w:r w:rsidR="00DD22A7" w:rsidRPr="00413FEF">
        <w:t>–</w:t>
      </w:r>
      <w:r w:rsidR="00DD22A7">
        <w:t xml:space="preserve"> </w:t>
      </w:r>
      <w:r w:rsidR="00F961B8" w:rsidRPr="00413FEF">
        <w:t>Part II: The sources of epistemic authority. </w:t>
      </w:r>
      <w:r w:rsidR="00F961B8" w:rsidRPr="00413FEF">
        <w:rPr>
          <w:i/>
          <w:iCs/>
        </w:rPr>
        <w:t>Philosophy Compass</w:t>
      </w:r>
      <w:r w:rsidR="00F961B8" w:rsidRPr="00413FEF">
        <w:t>, e70005. </w:t>
      </w:r>
      <w:r w:rsidR="00700FD5" w:rsidRPr="001B39C5">
        <w:fldChar w:fldCharType="begin"/>
      </w:r>
      <w:r w:rsidR="00700FD5" w:rsidRPr="00413FEF">
        <w:instrText xml:space="preserve"> HYPERLINK "https://doi.org/10.1111/phc3.70005" </w:instrText>
      </w:r>
      <w:r w:rsidR="00700FD5" w:rsidRPr="004756F6">
        <w:fldChar w:fldCharType="separate"/>
      </w:r>
      <w:r w:rsidR="00F961B8" w:rsidRPr="00413FEF">
        <w:rPr>
          <w:rStyle w:val="Hyperlink"/>
        </w:rPr>
        <w:t>https://doi.org/10.1111/phc3.70005</w:t>
      </w:r>
      <w:r w:rsidR="00700FD5" w:rsidRPr="001B39C5">
        <w:rPr>
          <w:rStyle w:val="Hyperlink"/>
        </w:rPr>
        <w:fldChar w:fldCharType="end"/>
      </w:r>
    </w:p>
    <w:p w14:paraId="71377AA0" w14:textId="23096B53" w:rsidR="00887227" w:rsidRPr="00413FEF" w:rsidRDefault="00887227" w:rsidP="00947ED3">
      <w:pPr>
        <w:spacing w:line="360" w:lineRule="auto"/>
        <w:rPr>
          <w:lang w:val="en-US" w:bidi="en-US"/>
        </w:rPr>
      </w:pPr>
      <w:r w:rsidRPr="00413FEF">
        <w:rPr>
          <w:lang w:val="en-US" w:bidi="en-US"/>
        </w:rPr>
        <w:t>Darwall, S. (2017)</w:t>
      </w:r>
      <w:r w:rsidR="00C91753">
        <w:rPr>
          <w:lang w:val="en-US" w:bidi="en-US"/>
        </w:rPr>
        <w:t>.</w:t>
      </w:r>
      <w:r w:rsidRPr="00413FEF">
        <w:rPr>
          <w:lang w:val="en-US" w:bidi="en-US"/>
        </w:rPr>
        <w:t xml:space="preserve"> Trust as a </w:t>
      </w:r>
      <w:r w:rsidR="00C91753">
        <w:rPr>
          <w:lang w:val="en-US" w:bidi="en-US"/>
        </w:rPr>
        <w:t>s</w:t>
      </w:r>
      <w:r w:rsidRPr="00413FEF">
        <w:rPr>
          <w:lang w:val="en-US" w:bidi="en-US"/>
        </w:rPr>
        <w:t>econd-</w:t>
      </w:r>
      <w:r w:rsidR="00C91753">
        <w:rPr>
          <w:lang w:val="en-US" w:bidi="en-US"/>
        </w:rPr>
        <w:t>p</w:t>
      </w:r>
      <w:r w:rsidRPr="00413FEF">
        <w:rPr>
          <w:lang w:val="en-US" w:bidi="en-US"/>
        </w:rPr>
        <w:t xml:space="preserve">ersonal </w:t>
      </w:r>
      <w:r w:rsidR="00C91753">
        <w:rPr>
          <w:lang w:val="en-US" w:bidi="en-US"/>
        </w:rPr>
        <w:t>a</w:t>
      </w:r>
      <w:r w:rsidRPr="00413FEF">
        <w:rPr>
          <w:lang w:val="en-US" w:bidi="en-US"/>
        </w:rPr>
        <w:t xml:space="preserve">ttitude of the </w:t>
      </w:r>
      <w:r w:rsidR="00C91753">
        <w:rPr>
          <w:lang w:val="en-US" w:bidi="en-US"/>
        </w:rPr>
        <w:t>h</w:t>
      </w:r>
      <w:r w:rsidRPr="00413FEF">
        <w:rPr>
          <w:lang w:val="en-US" w:bidi="en-US"/>
        </w:rPr>
        <w:t>earth</w:t>
      </w:r>
      <w:r w:rsidR="00C91753">
        <w:rPr>
          <w:lang w:val="en-US" w:bidi="en-US"/>
        </w:rPr>
        <w:t>. I</w:t>
      </w:r>
      <w:r w:rsidRPr="00413FEF">
        <w:rPr>
          <w:lang w:val="en-US" w:bidi="en-US"/>
        </w:rPr>
        <w:t xml:space="preserve">n </w:t>
      </w:r>
      <w:r w:rsidR="00C91753">
        <w:rPr>
          <w:lang w:val="en-US" w:bidi="en-US"/>
        </w:rPr>
        <w:t xml:space="preserve">P. </w:t>
      </w:r>
      <w:r w:rsidRPr="00413FEF">
        <w:rPr>
          <w:lang w:val="en-US" w:bidi="en-US"/>
        </w:rPr>
        <w:t>Faulkner</w:t>
      </w:r>
      <w:r w:rsidR="00C91753">
        <w:rPr>
          <w:lang w:val="en-US" w:bidi="en-US"/>
        </w:rPr>
        <w:t xml:space="preserve"> &amp;</w:t>
      </w:r>
      <w:r w:rsidRPr="00413FEF">
        <w:rPr>
          <w:lang w:val="en-US" w:bidi="en-US"/>
        </w:rPr>
        <w:t xml:space="preserve"> </w:t>
      </w:r>
      <w:r w:rsidR="00C91753">
        <w:rPr>
          <w:lang w:val="en-US" w:bidi="en-US"/>
        </w:rPr>
        <w:t xml:space="preserve">T. </w:t>
      </w:r>
      <w:r w:rsidRPr="00413FEF">
        <w:rPr>
          <w:lang w:val="en-US" w:bidi="en-US"/>
        </w:rPr>
        <w:t>Simpson (</w:t>
      </w:r>
      <w:r w:rsidR="00C91753">
        <w:rPr>
          <w:lang w:val="en-US" w:bidi="en-US"/>
        </w:rPr>
        <w:t>E</w:t>
      </w:r>
      <w:r w:rsidRPr="00413FEF">
        <w:rPr>
          <w:lang w:val="en-US" w:bidi="en-US"/>
        </w:rPr>
        <w:t>ds.)</w:t>
      </w:r>
      <w:r w:rsidR="00C91753">
        <w:rPr>
          <w:lang w:val="en-US" w:bidi="en-US"/>
        </w:rPr>
        <w:t>.</w:t>
      </w:r>
      <w:r w:rsidRPr="00413FEF">
        <w:rPr>
          <w:lang w:val="en-US" w:bidi="en-US"/>
        </w:rPr>
        <w:t xml:space="preserve"> </w:t>
      </w:r>
      <w:r w:rsidRPr="00413FEF">
        <w:rPr>
          <w:i/>
          <w:iCs/>
          <w:lang w:val="en-US" w:bidi="en-US"/>
        </w:rPr>
        <w:t xml:space="preserve">The </w:t>
      </w:r>
      <w:r w:rsidR="00C91753">
        <w:rPr>
          <w:i/>
          <w:iCs/>
          <w:lang w:val="en-US" w:bidi="en-US"/>
        </w:rPr>
        <w:t>p</w:t>
      </w:r>
      <w:r w:rsidRPr="00413FEF">
        <w:rPr>
          <w:i/>
          <w:iCs/>
          <w:lang w:val="en-US" w:bidi="en-US"/>
        </w:rPr>
        <w:t xml:space="preserve">hilosophy of </w:t>
      </w:r>
      <w:r w:rsidR="00C91753">
        <w:rPr>
          <w:i/>
          <w:iCs/>
          <w:lang w:val="en-US" w:bidi="en-US"/>
        </w:rPr>
        <w:t>t</w:t>
      </w:r>
      <w:r w:rsidRPr="00413FEF">
        <w:rPr>
          <w:i/>
          <w:iCs/>
          <w:lang w:val="en-US" w:bidi="en-US"/>
        </w:rPr>
        <w:t>rust</w:t>
      </w:r>
      <w:r w:rsidR="0045149F" w:rsidRPr="0045149F">
        <w:rPr>
          <w:lang w:val="en-US" w:bidi="en-US"/>
        </w:rPr>
        <w:t xml:space="preserve"> </w:t>
      </w:r>
      <w:r w:rsidR="0045149F">
        <w:rPr>
          <w:lang w:val="en-US" w:bidi="en-US"/>
        </w:rPr>
        <w:t>(</w:t>
      </w:r>
      <w:r w:rsidR="0045149F" w:rsidRPr="00413FEF">
        <w:rPr>
          <w:lang w:val="en-US" w:bidi="en-US"/>
        </w:rPr>
        <w:t>pp. 35-50</w:t>
      </w:r>
      <w:r w:rsidR="0045149F">
        <w:rPr>
          <w:lang w:val="en-US" w:bidi="en-US"/>
        </w:rPr>
        <w:t>)</w:t>
      </w:r>
      <w:r w:rsidRPr="00413FEF">
        <w:rPr>
          <w:lang w:val="en-US" w:bidi="en-US"/>
        </w:rPr>
        <w:t>. Oxford University Press.</w:t>
      </w:r>
    </w:p>
    <w:p w14:paraId="554D785D" w14:textId="00ED252E" w:rsidR="00887227" w:rsidRPr="00413FEF" w:rsidRDefault="00887227" w:rsidP="00947ED3">
      <w:pPr>
        <w:spacing w:line="360" w:lineRule="auto"/>
        <w:rPr>
          <w:lang w:val="en-US" w:bidi="en-US"/>
        </w:rPr>
      </w:pPr>
      <w:r w:rsidRPr="00413FEF">
        <w:rPr>
          <w:lang w:val="en-US" w:bidi="en-US"/>
        </w:rPr>
        <w:t>Dellsén, F. (2018)</w:t>
      </w:r>
      <w:r w:rsidR="002C0B49">
        <w:rPr>
          <w:lang w:val="en-US" w:bidi="en-US"/>
        </w:rPr>
        <w:t>.</w:t>
      </w:r>
      <w:r w:rsidRPr="00413FEF">
        <w:rPr>
          <w:lang w:val="en-US" w:bidi="en-US"/>
        </w:rPr>
        <w:t xml:space="preserve"> The </w:t>
      </w:r>
      <w:r w:rsidR="002C0B49">
        <w:rPr>
          <w:lang w:val="en-US" w:bidi="en-US"/>
        </w:rPr>
        <w:t>e</w:t>
      </w:r>
      <w:r w:rsidRPr="00413FEF">
        <w:rPr>
          <w:lang w:val="en-US" w:bidi="en-US"/>
        </w:rPr>
        <w:t xml:space="preserve">pistemic </w:t>
      </w:r>
      <w:r w:rsidR="002C0B49">
        <w:rPr>
          <w:lang w:val="en-US" w:bidi="en-US"/>
        </w:rPr>
        <w:t>v</w:t>
      </w:r>
      <w:r w:rsidRPr="00413FEF">
        <w:rPr>
          <w:lang w:val="en-US" w:bidi="en-US"/>
        </w:rPr>
        <w:t xml:space="preserve">alue of </w:t>
      </w:r>
      <w:r w:rsidR="002C0B49">
        <w:rPr>
          <w:lang w:val="en-US" w:bidi="en-US"/>
        </w:rPr>
        <w:t>e</w:t>
      </w:r>
      <w:r w:rsidRPr="00413FEF">
        <w:rPr>
          <w:lang w:val="en-US" w:bidi="en-US"/>
        </w:rPr>
        <w:t xml:space="preserve">xpert </w:t>
      </w:r>
      <w:r w:rsidR="002C0B49">
        <w:rPr>
          <w:lang w:val="en-US" w:bidi="en-US"/>
        </w:rPr>
        <w:t>a</w:t>
      </w:r>
      <w:r w:rsidRPr="00413FEF">
        <w:rPr>
          <w:lang w:val="en-US" w:bidi="en-US"/>
        </w:rPr>
        <w:t xml:space="preserve">utonomy. </w:t>
      </w:r>
      <w:r w:rsidRPr="00413FEF">
        <w:rPr>
          <w:i/>
          <w:iCs/>
          <w:lang w:val="en-US" w:bidi="en-US"/>
        </w:rPr>
        <w:t>Philosophy and Phenomenological Research</w:t>
      </w:r>
      <w:r w:rsidRPr="00413FEF">
        <w:rPr>
          <w:lang w:val="en-US" w:bidi="en-US"/>
        </w:rPr>
        <w:t xml:space="preserve"> (2)</w:t>
      </w:r>
      <w:r w:rsidR="002C0B49">
        <w:rPr>
          <w:lang w:val="en-US" w:bidi="en-US"/>
        </w:rPr>
        <w:t xml:space="preserve">, </w:t>
      </w:r>
      <w:r w:rsidRPr="00413FEF">
        <w:rPr>
          <w:lang w:val="en-US" w:bidi="en-US"/>
        </w:rPr>
        <w:t>344-361.</w:t>
      </w:r>
    </w:p>
    <w:p w14:paraId="1848A29F" w14:textId="7361EB53" w:rsidR="00B02CA0" w:rsidRPr="00413FEF" w:rsidRDefault="00B02CA0" w:rsidP="00947ED3">
      <w:pPr>
        <w:spacing w:line="360" w:lineRule="auto"/>
        <w:rPr>
          <w:lang w:val="en-US" w:bidi="en-US"/>
        </w:rPr>
      </w:pPr>
      <w:r w:rsidRPr="00413FEF">
        <w:rPr>
          <w:lang w:val="en-US" w:bidi="en-US"/>
        </w:rPr>
        <w:t>Desmond, H. (2022)</w:t>
      </w:r>
      <w:r w:rsidR="009B4256">
        <w:rPr>
          <w:lang w:val="en-US" w:bidi="en-US"/>
        </w:rPr>
        <w:t>.</w:t>
      </w:r>
      <w:r w:rsidRPr="00413FEF">
        <w:rPr>
          <w:lang w:val="en-US" w:bidi="en-US"/>
        </w:rPr>
        <w:t xml:space="preserve"> Status </w:t>
      </w:r>
      <w:r w:rsidR="009B4256">
        <w:rPr>
          <w:lang w:val="en-US" w:bidi="en-US"/>
        </w:rPr>
        <w:t>d</w:t>
      </w:r>
      <w:r w:rsidRPr="00413FEF">
        <w:rPr>
          <w:lang w:val="en-US" w:bidi="en-US"/>
        </w:rPr>
        <w:t xml:space="preserve">istrust of </w:t>
      </w:r>
      <w:r w:rsidR="009B4256">
        <w:rPr>
          <w:lang w:val="en-US" w:bidi="en-US"/>
        </w:rPr>
        <w:t>s</w:t>
      </w:r>
      <w:r w:rsidRPr="00413FEF">
        <w:rPr>
          <w:lang w:val="en-US" w:bidi="en-US"/>
        </w:rPr>
        <w:t xml:space="preserve">cientific </w:t>
      </w:r>
      <w:r w:rsidR="009B4256">
        <w:rPr>
          <w:lang w:val="en-US" w:bidi="en-US"/>
        </w:rPr>
        <w:t>e</w:t>
      </w:r>
      <w:r w:rsidRPr="00413FEF">
        <w:rPr>
          <w:lang w:val="en-US" w:bidi="en-US"/>
        </w:rPr>
        <w:t xml:space="preserve">xperts. </w:t>
      </w:r>
      <w:r w:rsidRPr="00413FEF">
        <w:rPr>
          <w:i/>
          <w:iCs/>
          <w:lang w:val="en-US" w:bidi="en-US"/>
        </w:rPr>
        <w:t>Social Epistemology</w:t>
      </w:r>
      <w:r w:rsidR="009B4256">
        <w:rPr>
          <w:i/>
          <w:iCs/>
          <w:lang w:val="en-US" w:bidi="en-US"/>
        </w:rPr>
        <w:t>,</w:t>
      </w:r>
      <w:r w:rsidRPr="00413FEF">
        <w:rPr>
          <w:lang w:val="en-US" w:bidi="en-US"/>
        </w:rPr>
        <w:t xml:space="preserve"> </w:t>
      </w:r>
      <w:r w:rsidRPr="004756F6">
        <w:rPr>
          <w:i/>
          <w:lang w:val="en-US" w:bidi="en-US"/>
        </w:rPr>
        <w:t>36</w:t>
      </w:r>
      <w:r w:rsidRPr="00413FEF">
        <w:rPr>
          <w:lang w:val="en-US" w:bidi="en-US"/>
        </w:rPr>
        <w:t xml:space="preserve"> (5)</w:t>
      </w:r>
      <w:r w:rsidR="009B4256">
        <w:rPr>
          <w:lang w:val="en-US" w:bidi="en-US"/>
        </w:rPr>
        <w:t xml:space="preserve">, </w:t>
      </w:r>
      <w:r w:rsidRPr="00413FEF">
        <w:rPr>
          <w:lang w:val="en-US" w:bidi="en-US"/>
        </w:rPr>
        <w:t>586-600.</w:t>
      </w:r>
    </w:p>
    <w:p w14:paraId="284CEB9E" w14:textId="12F4EC91" w:rsidR="003D4D83" w:rsidRPr="00413FEF" w:rsidRDefault="00887227" w:rsidP="00947ED3">
      <w:pPr>
        <w:spacing w:line="360" w:lineRule="auto"/>
        <w:rPr>
          <w:lang w:val="en-US" w:bidi="en-US"/>
        </w:rPr>
      </w:pPr>
      <w:r w:rsidRPr="00413FEF">
        <w:rPr>
          <w:lang w:val="en-US" w:bidi="en-US"/>
        </w:rPr>
        <w:t>Dewey, J</w:t>
      </w:r>
      <w:r w:rsidR="00C809A4" w:rsidRPr="00413FEF">
        <w:rPr>
          <w:lang w:val="en-US" w:bidi="en-US"/>
        </w:rPr>
        <w:t>. (</w:t>
      </w:r>
      <w:r w:rsidRPr="00413FEF">
        <w:rPr>
          <w:lang w:val="en-US" w:bidi="en-US"/>
        </w:rPr>
        <w:t>1927</w:t>
      </w:r>
      <w:r w:rsidR="00C809A4" w:rsidRPr="00413FEF">
        <w:rPr>
          <w:lang w:val="en-US" w:bidi="en-US"/>
        </w:rPr>
        <w:t>)</w:t>
      </w:r>
      <w:r w:rsidR="00FA7F40">
        <w:rPr>
          <w:lang w:val="en-US" w:bidi="en-US"/>
        </w:rPr>
        <w:t>.</w:t>
      </w:r>
      <w:r w:rsidRPr="00413FEF">
        <w:rPr>
          <w:lang w:val="en-US" w:bidi="en-US"/>
        </w:rPr>
        <w:t xml:space="preserve"> </w:t>
      </w:r>
      <w:r w:rsidRPr="00413FEF">
        <w:rPr>
          <w:i/>
          <w:iCs/>
          <w:lang w:val="en-US" w:bidi="en-US"/>
        </w:rPr>
        <w:t xml:space="preserve">The </w:t>
      </w:r>
      <w:r w:rsidR="00FA7F40">
        <w:rPr>
          <w:i/>
          <w:iCs/>
          <w:lang w:val="en-US" w:bidi="en-US"/>
        </w:rPr>
        <w:t>p</w:t>
      </w:r>
      <w:r w:rsidRPr="00413FEF">
        <w:rPr>
          <w:i/>
          <w:iCs/>
          <w:lang w:val="en-US" w:bidi="en-US"/>
        </w:rPr>
        <w:t xml:space="preserve">ublic and </w:t>
      </w:r>
      <w:r w:rsidR="00FA7F40">
        <w:rPr>
          <w:i/>
          <w:iCs/>
          <w:lang w:val="en-US" w:bidi="en-US"/>
        </w:rPr>
        <w:t>i</w:t>
      </w:r>
      <w:r w:rsidRPr="00413FEF">
        <w:rPr>
          <w:i/>
          <w:iCs/>
          <w:lang w:val="en-US" w:bidi="en-US"/>
        </w:rPr>
        <w:t xml:space="preserve">ts </w:t>
      </w:r>
      <w:r w:rsidR="00FA7F40">
        <w:rPr>
          <w:i/>
          <w:iCs/>
          <w:lang w:val="en-US" w:bidi="en-US"/>
        </w:rPr>
        <w:t>p</w:t>
      </w:r>
      <w:r w:rsidRPr="00413FEF">
        <w:rPr>
          <w:i/>
          <w:iCs/>
          <w:lang w:val="en-US" w:bidi="en-US"/>
        </w:rPr>
        <w:t>roblems</w:t>
      </w:r>
      <w:r w:rsidRPr="00413FEF">
        <w:rPr>
          <w:lang w:val="en-US" w:bidi="en-US"/>
        </w:rPr>
        <w:t>. Swallow Press.</w:t>
      </w:r>
    </w:p>
    <w:p w14:paraId="4C108B51" w14:textId="6D1FE64E" w:rsidR="00887227" w:rsidRPr="00413FEF" w:rsidRDefault="00887227" w:rsidP="00866C4D">
      <w:pPr>
        <w:spacing w:line="360" w:lineRule="auto"/>
      </w:pPr>
      <w:proofErr w:type="spellStart"/>
      <w:r w:rsidRPr="00413FEF">
        <w:t>Domenicucci</w:t>
      </w:r>
      <w:proofErr w:type="spellEnd"/>
      <w:r w:rsidRPr="00413FEF">
        <w:t>, J.</w:t>
      </w:r>
      <w:r w:rsidR="00FA7F40">
        <w:t>,</w:t>
      </w:r>
      <w:r w:rsidRPr="00413FEF">
        <w:t xml:space="preserve"> </w:t>
      </w:r>
      <w:r w:rsidR="00FA7F40">
        <w:t>&amp;</w:t>
      </w:r>
      <w:r w:rsidR="00FA7F40" w:rsidRPr="00413FEF">
        <w:t xml:space="preserve"> </w:t>
      </w:r>
      <w:r w:rsidRPr="00413FEF">
        <w:t xml:space="preserve">Holton, R. </w:t>
      </w:r>
      <w:r w:rsidR="003D4D83" w:rsidRPr="00413FEF">
        <w:t>(</w:t>
      </w:r>
      <w:r w:rsidRPr="00413FEF">
        <w:t>2017</w:t>
      </w:r>
      <w:r w:rsidR="003D4D83" w:rsidRPr="00413FEF">
        <w:t>)</w:t>
      </w:r>
      <w:r w:rsidR="00FA7F40">
        <w:t>.</w:t>
      </w:r>
      <w:r w:rsidRPr="00413FEF">
        <w:t xml:space="preserve"> Trust as a two-place relation</w:t>
      </w:r>
      <w:r w:rsidR="00A43CC3">
        <w:t>. I</w:t>
      </w:r>
      <w:r w:rsidRPr="00413FEF">
        <w:t xml:space="preserve">n P. Faulkner </w:t>
      </w:r>
      <w:r w:rsidR="00A43CC3">
        <w:t>&amp;</w:t>
      </w:r>
      <w:r w:rsidR="00A43CC3" w:rsidRPr="00413FEF">
        <w:t xml:space="preserve"> </w:t>
      </w:r>
      <w:r w:rsidRPr="00413FEF">
        <w:t>T. Simpson (</w:t>
      </w:r>
      <w:r w:rsidR="00A43CC3">
        <w:t>E</w:t>
      </w:r>
      <w:r w:rsidR="00A43CC3" w:rsidRPr="00413FEF">
        <w:t>ds</w:t>
      </w:r>
      <w:r w:rsidRPr="00413FEF">
        <w:t>.)</w:t>
      </w:r>
      <w:r w:rsidR="00A43CC3">
        <w:t>.</w:t>
      </w:r>
      <w:r w:rsidRPr="00413FEF">
        <w:t xml:space="preserve"> </w:t>
      </w:r>
      <w:r w:rsidRPr="00413FEF">
        <w:rPr>
          <w:i/>
          <w:iCs/>
        </w:rPr>
        <w:t xml:space="preserve">The </w:t>
      </w:r>
      <w:r w:rsidR="00A43CC3">
        <w:rPr>
          <w:i/>
          <w:iCs/>
        </w:rPr>
        <w:t>p</w:t>
      </w:r>
      <w:r w:rsidRPr="00413FEF">
        <w:rPr>
          <w:i/>
          <w:iCs/>
        </w:rPr>
        <w:t xml:space="preserve">hilosophy of </w:t>
      </w:r>
      <w:r w:rsidR="00A43CC3">
        <w:rPr>
          <w:i/>
          <w:iCs/>
        </w:rPr>
        <w:t>t</w:t>
      </w:r>
      <w:r w:rsidRPr="00413FEF">
        <w:rPr>
          <w:i/>
          <w:iCs/>
        </w:rPr>
        <w:t>rust</w:t>
      </w:r>
      <w:r w:rsidR="00A43CC3">
        <w:rPr>
          <w:i/>
          <w:iCs/>
        </w:rPr>
        <w:t xml:space="preserve"> </w:t>
      </w:r>
      <w:r w:rsidR="00A43CC3" w:rsidRPr="004756F6">
        <w:rPr>
          <w:iCs/>
        </w:rPr>
        <w:t>(</w:t>
      </w:r>
      <w:r w:rsidR="00AE548B">
        <w:rPr>
          <w:iCs/>
        </w:rPr>
        <w:t xml:space="preserve">pp. </w:t>
      </w:r>
      <w:r w:rsidR="00A43CC3" w:rsidRPr="00413FEF">
        <w:t>149-160</w:t>
      </w:r>
      <w:r w:rsidR="00A43CC3">
        <w:t>).</w:t>
      </w:r>
      <w:r w:rsidRPr="00413FEF">
        <w:t xml:space="preserve"> Oxford University Press.</w:t>
      </w:r>
    </w:p>
    <w:p w14:paraId="31BD81BC" w14:textId="1B16F5B8" w:rsidR="00887227" w:rsidRPr="00413FEF" w:rsidRDefault="00887227" w:rsidP="00947ED3">
      <w:pPr>
        <w:spacing w:line="360" w:lineRule="auto"/>
        <w:rPr>
          <w:lang w:val="en-US" w:bidi="en-US"/>
        </w:rPr>
      </w:pPr>
      <w:proofErr w:type="spellStart"/>
      <w:r w:rsidRPr="00413FEF">
        <w:rPr>
          <w:lang w:val="en-US" w:bidi="en-US"/>
        </w:rPr>
        <w:t>Dormandy</w:t>
      </w:r>
      <w:proofErr w:type="spellEnd"/>
      <w:r w:rsidRPr="00413FEF">
        <w:rPr>
          <w:lang w:val="en-US" w:bidi="en-US"/>
        </w:rPr>
        <w:t>, K. (2020)</w:t>
      </w:r>
      <w:r w:rsidR="00AE548B">
        <w:rPr>
          <w:lang w:val="en-US" w:bidi="en-US"/>
        </w:rPr>
        <w:t>.</w:t>
      </w:r>
      <w:r w:rsidRPr="00413FEF">
        <w:rPr>
          <w:lang w:val="en-US" w:bidi="en-US"/>
        </w:rPr>
        <w:t xml:space="preserve"> Introduction: An </w:t>
      </w:r>
      <w:r w:rsidR="00AE548B">
        <w:rPr>
          <w:lang w:val="en-US" w:bidi="en-US"/>
        </w:rPr>
        <w:t>o</w:t>
      </w:r>
      <w:r w:rsidRPr="00413FEF">
        <w:rPr>
          <w:lang w:val="en-US" w:bidi="en-US"/>
        </w:rPr>
        <w:t xml:space="preserve">verview of trust and </w:t>
      </w:r>
      <w:r w:rsidR="00AE548B">
        <w:rPr>
          <w:lang w:val="en-US" w:bidi="en-US"/>
        </w:rPr>
        <w:t>s</w:t>
      </w:r>
      <w:r w:rsidRPr="00413FEF">
        <w:rPr>
          <w:lang w:val="en-US" w:bidi="en-US"/>
        </w:rPr>
        <w:t xml:space="preserve">ome </w:t>
      </w:r>
      <w:r w:rsidR="00AE548B">
        <w:rPr>
          <w:lang w:val="en-US" w:bidi="en-US"/>
        </w:rPr>
        <w:t>k</w:t>
      </w:r>
      <w:r w:rsidRPr="00413FEF">
        <w:rPr>
          <w:lang w:val="en-US" w:bidi="en-US"/>
        </w:rPr>
        <w:t xml:space="preserve">ey </w:t>
      </w:r>
      <w:r w:rsidR="00AE548B">
        <w:rPr>
          <w:lang w:val="en-US" w:bidi="en-US"/>
        </w:rPr>
        <w:t>e</w:t>
      </w:r>
      <w:r w:rsidRPr="00413FEF">
        <w:rPr>
          <w:lang w:val="en-US" w:bidi="en-US"/>
        </w:rPr>
        <w:t xml:space="preserve">pistemological </w:t>
      </w:r>
      <w:r w:rsidR="00AE548B">
        <w:rPr>
          <w:lang w:val="en-US" w:bidi="en-US"/>
        </w:rPr>
        <w:t>a</w:t>
      </w:r>
      <w:r w:rsidRPr="00413FEF">
        <w:rPr>
          <w:lang w:val="en-US" w:bidi="en-US"/>
        </w:rPr>
        <w:t>pplications</w:t>
      </w:r>
      <w:r w:rsidR="00AE548B">
        <w:rPr>
          <w:lang w:val="en-US" w:bidi="en-US"/>
        </w:rPr>
        <w:t>. I</w:t>
      </w:r>
      <w:r w:rsidRPr="00413FEF">
        <w:rPr>
          <w:lang w:val="en-US" w:bidi="en-US"/>
        </w:rPr>
        <w:t xml:space="preserve">n </w:t>
      </w:r>
      <w:proofErr w:type="spellStart"/>
      <w:r w:rsidRPr="00413FEF">
        <w:rPr>
          <w:lang w:val="en-US" w:bidi="en-US"/>
        </w:rPr>
        <w:t>Dormandy</w:t>
      </w:r>
      <w:proofErr w:type="spellEnd"/>
      <w:r w:rsidRPr="00413FEF">
        <w:rPr>
          <w:lang w:val="en-US" w:bidi="en-US"/>
        </w:rPr>
        <w:t>, K</w:t>
      </w:r>
      <w:r w:rsidR="00AE548B">
        <w:rPr>
          <w:lang w:val="en-US" w:bidi="en-US"/>
        </w:rPr>
        <w:t>.</w:t>
      </w:r>
      <w:r w:rsidRPr="00413FEF">
        <w:rPr>
          <w:lang w:val="en-US" w:bidi="en-US"/>
        </w:rPr>
        <w:t xml:space="preserve"> (</w:t>
      </w:r>
      <w:r w:rsidR="00AE548B">
        <w:rPr>
          <w:lang w:val="en-US" w:bidi="en-US"/>
        </w:rPr>
        <w:t>E</w:t>
      </w:r>
      <w:r w:rsidRPr="00413FEF">
        <w:rPr>
          <w:lang w:val="en-US" w:bidi="en-US"/>
        </w:rPr>
        <w:t xml:space="preserve">d.). </w:t>
      </w:r>
      <w:r w:rsidRPr="00413FEF">
        <w:rPr>
          <w:i/>
          <w:iCs/>
          <w:lang w:val="en-US" w:bidi="en-US"/>
        </w:rPr>
        <w:t xml:space="preserve">Trust in </w:t>
      </w:r>
      <w:r w:rsidR="00AE548B">
        <w:rPr>
          <w:i/>
          <w:iCs/>
          <w:lang w:val="en-US" w:bidi="en-US"/>
        </w:rPr>
        <w:t>e</w:t>
      </w:r>
      <w:r w:rsidRPr="00413FEF">
        <w:rPr>
          <w:i/>
          <w:iCs/>
          <w:lang w:val="en-US" w:bidi="en-US"/>
        </w:rPr>
        <w:t>pistemology</w:t>
      </w:r>
      <w:r w:rsidR="00AE548B" w:rsidRPr="00AE548B">
        <w:rPr>
          <w:lang w:val="en-US" w:bidi="en-US"/>
        </w:rPr>
        <w:t xml:space="preserve"> </w:t>
      </w:r>
      <w:r w:rsidR="00AE548B">
        <w:rPr>
          <w:lang w:val="en-US" w:bidi="en-US"/>
        </w:rPr>
        <w:t>(</w:t>
      </w:r>
      <w:r w:rsidR="00AE548B" w:rsidRPr="00413FEF">
        <w:rPr>
          <w:lang w:val="en-US" w:bidi="en-US"/>
        </w:rPr>
        <w:t>pp. 1-40</w:t>
      </w:r>
      <w:r w:rsidR="00AE548B">
        <w:rPr>
          <w:lang w:val="en-US" w:bidi="en-US"/>
        </w:rPr>
        <w:t>)</w:t>
      </w:r>
      <w:r w:rsidRPr="00413FEF">
        <w:rPr>
          <w:lang w:val="en-US" w:bidi="en-US"/>
        </w:rPr>
        <w:t>. Routledge.</w:t>
      </w:r>
    </w:p>
    <w:p w14:paraId="358E461C" w14:textId="21A09083" w:rsidR="003D4D83" w:rsidRPr="00413FEF" w:rsidRDefault="00887227" w:rsidP="00947ED3">
      <w:pPr>
        <w:spacing w:line="360" w:lineRule="auto"/>
        <w:rPr>
          <w:lang w:val="en-US" w:bidi="en-US"/>
        </w:rPr>
      </w:pPr>
      <w:r w:rsidRPr="00413FEF">
        <w:rPr>
          <w:lang w:val="en-US" w:bidi="en-US"/>
        </w:rPr>
        <w:t>Douglas, H</w:t>
      </w:r>
      <w:r w:rsidR="003D4D83" w:rsidRPr="00413FEF">
        <w:rPr>
          <w:lang w:val="en-US" w:bidi="en-US"/>
        </w:rPr>
        <w:t>. (</w:t>
      </w:r>
      <w:r w:rsidRPr="00413FEF">
        <w:rPr>
          <w:lang w:val="en-US" w:bidi="en-US"/>
        </w:rPr>
        <w:t>2013</w:t>
      </w:r>
      <w:r w:rsidR="003D4D83" w:rsidRPr="00413FEF">
        <w:rPr>
          <w:lang w:val="en-US" w:bidi="en-US"/>
        </w:rPr>
        <w:t>)</w:t>
      </w:r>
      <w:r w:rsidR="00392427">
        <w:rPr>
          <w:lang w:val="en-US" w:bidi="en-US"/>
        </w:rPr>
        <w:t>.</w:t>
      </w:r>
      <w:r w:rsidRPr="00413FEF">
        <w:rPr>
          <w:lang w:val="en-US" w:bidi="en-US"/>
        </w:rPr>
        <w:t xml:space="preserve"> The </w:t>
      </w:r>
      <w:r w:rsidR="00392427">
        <w:rPr>
          <w:lang w:val="en-US" w:bidi="en-US"/>
        </w:rPr>
        <w:t>v</w:t>
      </w:r>
      <w:r w:rsidRPr="00413FEF">
        <w:rPr>
          <w:lang w:val="en-US" w:bidi="en-US"/>
        </w:rPr>
        <w:t xml:space="preserve">alue of </w:t>
      </w:r>
      <w:r w:rsidR="00392427">
        <w:rPr>
          <w:lang w:val="en-US" w:bidi="en-US"/>
        </w:rPr>
        <w:t>c</w:t>
      </w:r>
      <w:r w:rsidRPr="00413FEF">
        <w:rPr>
          <w:lang w:val="en-US" w:bidi="en-US"/>
        </w:rPr>
        <w:t xml:space="preserve">ognitive </w:t>
      </w:r>
      <w:r w:rsidR="00392427">
        <w:rPr>
          <w:lang w:val="en-US" w:bidi="en-US"/>
        </w:rPr>
        <w:t>v</w:t>
      </w:r>
      <w:r w:rsidRPr="00413FEF">
        <w:rPr>
          <w:lang w:val="en-US" w:bidi="en-US"/>
        </w:rPr>
        <w:t xml:space="preserve">alues. </w:t>
      </w:r>
      <w:r w:rsidRPr="004756F6">
        <w:rPr>
          <w:i/>
          <w:lang w:val="en-US" w:bidi="en-US"/>
        </w:rPr>
        <w:t>Philosophy of Science</w:t>
      </w:r>
      <w:r w:rsidR="00392427">
        <w:rPr>
          <w:lang w:val="en-US" w:bidi="en-US"/>
        </w:rPr>
        <w:t>,</w:t>
      </w:r>
      <w:r w:rsidRPr="00413FEF">
        <w:rPr>
          <w:lang w:val="en-US" w:bidi="en-US"/>
        </w:rPr>
        <w:t xml:space="preserve"> </w:t>
      </w:r>
      <w:r w:rsidRPr="004756F6">
        <w:rPr>
          <w:i/>
          <w:lang w:val="en-US" w:bidi="en-US"/>
        </w:rPr>
        <w:t>80</w:t>
      </w:r>
      <w:r w:rsidRPr="00413FEF">
        <w:rPr>
          <w:lang w:val="en-US" w:bidi="en-US"/>
        </w:rPr>
        <w:t>(5)</w:t>
      </w:r>
      <w:r w:rsidR="00392427">
        <w:rPr>
          <w:lang w:val="en-US" w:bidi="en-US"/>
        </w:rPr>
        <w:t>,</w:t>
      </w:r>
      <w:r w:rsidRPr="00413FEF">
        <w:rPr>
          <w:lang w:val="en-US" w:bidi="en-US"/>
        </w:rPr>
        <w:t xml:space="preserve"> 796–806. </w:t>
      </w:r>
      <w:hyperlink r:id="rId11" w:history="1">
        <w:r w:rsidRPr="00413FEF">
          <w:rPr>
            <w:rStyle w:val="Hyperlink"/>
            <w:lang w:val="en-US" w:bidi="en-US"/>
          </w:rPr>
          <w:t>https://doi.org/10.1086/673716</w:t>
        </w:r>
      </w:hyperlink>
      <w:r w:rsidRPr="00413FEF">
        <w:rPr>
          <w:lang w:val="en-US" w:bidi="en-US"/>
        </w:rPr>
        <w:t>.</w:t>
      </w:r>
    </w:p>
    <w:p w14:paraId="67638826" w14:textId="35E477E5" w:rsidR="00887227" w:rsidRPr="00413FEF" w:rsidRDefault="00887227" w:rsidP="00947ED3">
      <w:pPr>
        <w:spacing w:line="360" w:lineRule="auto"/>
        <w:rPr>
          <w:lang w:val="en-US" w:bidi="en-US"/>
        </w:rPr>
      </w:pPr>
      <w:proofErr w:type="spellStart"/>
      <w:r w:rsidRPr="00413FEF">
        <w:rPr>
          <w:lang w:val="en-US" w:bidi="en-US"/>
        </w:rPr>
        <w:t>Facciolà</w:t>
      </w:r>
      <w:proofErr w:type="spellEnd"/>
      <w:r w:rsidRPr="00413FEF">
        <w:rPr>
          <w:lang w:val="en-US" w:bidi="en-US"/>
        </w:rPr>
        <w:t>, A., Visalli, G., Orlando, A., Bertuccio, M. P., Spataro, P., Squeri, R., Picerno, I., &amp; Di Pietro, A. (2019)</w:t>
      </w:r>
      <w:r w:rsidR="002024E0">
        <w:rPr>
          <w:lang w:val="en-US" w:bidi="en-US"/>
        </w:rPr>
        <w:t>.</w:t>
      </w:r>
      <w:r w:rsidRPr="00413FEF">
        <w:rPr>
          <w:lang w:val="en-US" w:bidi="en-US"/>
        </w:rPr>
        <w:t xml:space="preserve"> Vaccine hesitancy: An overview on parents' opinions about vaccination and possible reasons of vaccine refusal. </w:t>
      </w:r>
      <w:r w:rsidRPr="00413FEF">
        <w:rPr>
          <w:i/>
          <w:iCs/>
          <w:lang w:val="en-US" w:bidi="en-US"/>
        </w:rPr>
        <w:t xml:space="preserve">Journal of </w:t>
      </w:r>
      <w:r w:rsidR="00DB7AB8">
        <w:rPr>
          <w:i/>
          <w:iCs/>
          <w:lang w:val="en-US" w:bidi="en-US"/>
        </w:rPr>
        <w:t>P</w:t>
      </w:r>
      <w:r w:rsidRPr="00413FEF">
        <w:rPr>
          <w:i/>
          <w:iCs/>
          <w:lang w:val="en-US" w:bidi="en-US"/>
        </w:rPr>
        <w:t xml:space="preserve">ublic </w:t>
      </w:r>
      <w:r w:rsidR="00DB7AB8">
        <w:rPr>
          <w:i/>
          <w:iCs/>
          <w:lang w:val="en-US" w:bidi="en-US"/>
        </w:rPr>
        <w:t>H</w:t>
      </w:r>
      <w:r w:rsidRPr="00413FEF">
        <w:rPr>
          <w:i/>
          <w:iCs/>
          <w:lang w:val="en-US" w:bidi="en-US"/>
        </w:rPr>
        <w:t xml:space="preserve">ealth </w:t>
      </w:r>
      <w:r w:rsidR="00DB7AB8">
        <w:rPr>
          <w:i/>
          <w:iCs/>
          <w:lang w:val="en-US" w:bidi="en-US"/>
        </w:rPr>
        <w:t>R</w:t>
      </w:r>
      <w:r w:rsidRPr="00413FEF">
        <w:rPr>
          <w:i/>
          <w:iCs/>
          <w:lang w:val="en-US" w:bidi="en-US"/>
        </w:rPr>
        <w:t>esearch</w:t>
      </w:r>
      <w:r w:rsidRPr="00413FEF">
        <w:rPr>
          <w:lang w:val="en-US" w:bidi="en-US"/>
        </w:rPr>
        <w:t xml:space="preserve">, </w:t>
      </w:r>
      <w:r w:rsidRPr="004756F6">
        <w:rPr>
          <w:i/>
          <w:lang w:val="en-US" w:bidi="en-US"/>
        </w:rPr>
        <w:t>8</w:t>
      </w:r>
      <w:r w:rsidRPr="00413FEF">
        <w:rPr>
          <w:lang w:val="en-US" w:bidi="en-US"/>
        </w:rPr>
        <w:t xml:space="preserve">(1), 1436. </w:t>
      </w:r>
      <w:hyperlink r:id="rId12" w:history="1">
        <w:r w:rsidRPr="00413FEF">
          <w:rPr>
            <w:rStyle w:val="Hyperlink"/>
            <w:lang w:val="en-US" w:bidi="en-US"/>
          </w:rPr>
          <w:t>https://doi.org/10.4081/jphr.2019.1436</w:t>
        </w:r>
      </w:hyperlink>
    </w:p>
    <w:p w14:paraId="706B0420" w14:textId="5D549262" w:rsidR="00887227" w:rsidRPr="00413FEF" w:rsidRDefault="00887227">
      <w:pPr>
        <w:spacing w:line="360" w:lineRule="auto"/>
        <w:rPr>
          <w:lang w:val="en-US" w:bidi="en-US"/>
        </w:rPr>
      </w:pPr>
      <w:r w:rsidRPr="00413FEF">
        <w:t>Farrell, D. M., &amp; Suiter, J. (2019)</w:t>
      </w:r>
      <w:r w:rsidR="00DB7AB8">
        <w:t>.</w:t>
      </w:r>
      <w:r w:rsidRPr="00413FEF">
        <w:t> </w:t>
      </w:r>
      <w:r w:rsidRPr="00413FEF">
        <w:rPr>
          <w:i/>
          <w:iCs/>
        </w:rPr>
        <w:t xml:space="preserve">Reimagining </w:t>
      </w:r>
      <w:r w:rsidR="00DB7AB8">
        <w:rPr>
          <w:i/>
          <w:iCs/>
        </w:rPr>
        <w:t>d</w:t>
      </w:r>
      <w:r w:rsidRPr="00413FEF">
        <w:rPr>
          <w:i/>
          <w:iCs/>
        </w:rPr>
        <w:t xml:space="preserve">emocracy : Lessons in </w:t>
      </w:r>
      <w:r w:rsidR="00DB7AB8">
        <w:rPr>
          <w:i/>
          <w:iCs/>
        </w:rPr>
        <w:t>d</w:t>
      </w:r>
      <w:r w:rsidRPr="00413FEF">
        <w:rPr>
          <w:i/>
          <w:iCs/>
        </w:rPr>
        <w:t xml:space="preserve">eliberative </w:t>
      </w:r>
      <w:r w:rsidR="00DB7AB8">
        <w:rPr>
          <w:i/>
          <w:iCs/>
        </w:rPr>
        <w:t>d</w:t>
      </w:r>
      <w:r w:rsidRPr="00413FEF">
        <w:rPr>
          <w:i/>
          <w:iCs/>
        </w:rPr>
        <w:t xml:space="preserve">emocracy from the Irish </w:t>
      </w:r>
      <w:r w:rsidR="00DB7AB8">
        <w:rPr>
          <w:i/>
          <w:iCs/>
        </w:rPr>
        <w:t>f</w:t>
      </w:r>
      <w:r w:rsidRPr="00413FEF">
        <w:rPr>
          <w:i/>
          <w:iCs/>
        </w:rPr>
        <w:t xml:space="preserve">ront </w:t>
      </w:r>
      <w:r w:rsidR="00DB7AB8">
        <w:rPr>
          <w:i/>
          <w:iCs/>
        </w:rPr>
        <w:t>l</w:t>
      </w:r>
      <w:r w:rsidRPr="00413FEF">
        <w:rPr>
          <w:i/>
          <w:iCs/>
        </w:rPr>
        <w:t>ine</w:t>
      </w:r>
      <w:r w:rsidRPr="00413FEF">
        <w:t>. Cornell University Press. https://doi.org/10.7591/9781501749346</w:t>
      </w:r>
      <w:r w:rsidRPr="00413FEF">
        <w:rPr>
          <w:rStyle w:val="CommentReference"/>
          <w:sz w:val="24"/>
          <w:szCs w:val="24"/>
        </w:rPr>
        <w:t>)</w:t>
      </w:r>
    </w:p>
    <w:p w14:paraId="548A3629" w14:textId="464469B6" w:rsidR="00887227" w:rsidRPr="00413FEF" w:rsidRDefault="00887227" w:rsidP="00947ED3">
      <w:pPr>
        <w:spacing w:line="360" w:lineRule="auto"/>
        <w:rPr>
          <w:lang w:val="en-US" w:bidi="en-US"/>
        </w:rPr>
      </w:pPr>
      <w:r w:rsidRPr="00413FEF">
        <w:rPr>
          <w:lang w:val="en-US" w:bidi="en-US"/>
        </w:rPr>
        <w:t>Faulkner, P. (2007)</w:t>
      </w:r>
      <w:r w:rsidR="00211814">
        <w:rPr>
          <w:lang w:val="en-US" w:bidi="en-US"/>
        </w:rPr>
        <w:t>.</w:t>
      </w:r>
      <w:r w:rsidRPr="00413FEF">
        <w:rPr>
          <w:lang w:val="en-US" w:bidi="en-US"/>
        </w:rPr>
        <w:t xml:space="preserve"> On </w:t>
      </w:r>
      <w:r w:rsidR="00211814">
        <w:rPr>
          <w:lang w:val="en-US" w:bidi="en-US"/>
        </w:rPr>
        <w:t>t</w:t>
      </w:r>
      <w:r w:rsidRPr="00413FEF">
        <w:rPr>
          <w:lang w:val="en-US" w:bidi="en-US"/>
        </w:rPr>
        <w:t xml:space="preserve">elling and </w:t>
      </w:r>
      <w:r w:rsidR="00211814">
        <w:rPr>
          <w:lang w:val="en-US" w:bidi="en-US"/>
        </w:rPr>
        <w:t>t</w:t>
      </w:r>
      <w:r w:rsidRPr="00413FEF">
        <w:rPr>
          <w:lang w:val="en-US" w:bidi="en-US"/>
        </w:rPr>
        <w:t xml:space="preserve">rusting. </w:t>
      </w:r>
      <w:r w:rsidRPr="004756F6">
        <w:rPr>
          <w:i/>
          <w:lang w:val="en-US" w:bidi="en-US"/>
        </w:rPr>
        <w:t>Mind</w:t>
      </w:r>
      <w:r w:rsidRPr="00413FEF">
        <w:rPr>
          <w:lang w:val="en-US" w:bidi="en-US"/>
        </w:rPr>
        <w:t xml:space="preserve">, </w:t>
      </w:r>
      <w:r w:rsidRPr="004756F6">
        <w:rPr>
          <w:i/>
          <w:lang w:val="en-US" w:bidi="en-US"/>
        </w:rPr>
        <w:t>116</w:t>
      </w:r>
      <w:r w:rsidRPr="00413FEF">
        <w:rPr>
          <w:lang w:val="en-US" w:bidi="en-US"/>
        </w:rPr>
        <w:t>(464), 875-902.</w:t>
      </w:r>
    </w:p>
    <w:p w14:paraId="554CAA85" w14:textId="0EA61592" w:rsidR="00887227" w:rsidRPr="00413FEF" w:rsidRDefault="00887227" w:rsidP="00C71C70">
      <w:pPr>
        <w:spacing w:line="360" w:lineRule="auto"/>
        <w:rPr>
          <w:lang w:val="en-US" w:bidi="en-US"/>
        </w:rPr>
      </w:pPr>
      <w:r w:rsidRPr="00413FEF">
        <w:rPr>
          <w:lang w:val="en-US" w:bidi="en-US"/>
        </w:rPr>
        <w:t>Faulkner, P. (2014)</w:t>
      </w:r>
      <w:r w:rsidR="00211814">
        <w:rPr>
          <w:lang w:val="en-US" w:bidi="en-US"/>
        </w:rPr>
        <w:t>.</w:t>
      </w:r>
      <w:r w:rsidRPr="00413FEF">
        <w:rPr>
          <w:lang w:val="en-US" w:bidi="en-US"/>
        </w:rPr>
        <w:t xml:space="preserve"> The moral obligations of trust</w:t>
      </w:r>
      <w:r w:rsidR="00211814">
        <w:rPr>
          <w:lang w:val="en-US" w:bidi="en-US"/>
        </w:rPr>
        <w:t>.</w:t>
      </w:r>
      <w:r w:rsidRPr="00413FEF">
        <w:rPr>
          <w:lang w:val="en-US" w:bidi="en-US"/>
        </w:rPr>
        <w:t xml:space="preserve"> </w:t>
      </w:r>
      <w:r w:rsidRPr="004756F6">
        <w:rPr>
          <w:i/>
          <w:lang w:val="en-US" w:bidi="en-US"/>
        </w:rPr>
        <w:t>Philosophical Explorations</w:t>
      </w:r>
      <w:r w:rsidR="00211814">
        <w:rPr>
          <w:lang w:val="en-US" w:bidi="en-US"/>
        </w:rPr>
        <w:t>,</w:t>
      </w:r>
      <w:r w:rsidRPr="004756F6">
        <w:rPr>
          <w:i/>
          <w:lang w:val="en-US" w:bidi="en-US"/>
        </w:rPr>
        <w:t>17</w:t>
      </w:r>
      <w:r w:rsidRPr="00413FEF">
        <w:rPr>
          <w:lang w:val="en-US" w:bidi="en-US"/>
        </w:rPr>
        <w:t>(3)</w:t>
      </w:r>
      <w:r w:rsidR="00211814">
        <w:rPr>
          <w:lang w:val="en-US" w:bidi="en-US"/>
        </w:rPr>
        <w:t>,</w:t>
      </w:r>
      <w:r w:rsidRPr="00413FEF">
        <w:rPr>
          <w:lang w:val="en-US" w:bidi="en-US"/>
        </w:rPr>
        <w:t xml:space="preserve"> 332-345.</w:t>
      </w:r>
    </w:p>
    <w:p w14:paraId="0AF1188F" w14:textId="61399E81" w:rsidR="003D4D83" w:rsidRPr="00413FEF" w:rsidRDefault="003D4D83" w:rsidP="003D4D83">
      <w:pPr>
        <w:spacing w:line="276" w:lineRule="auto"/>
        <w:ind w:left="426" w:hanging="426"/>
      </w:pPr>
      <w:r w:rsidRPr="00413FEF">
        <w:t>Faulkner, P. (2015)</w:t>
      </w:r>
      <w:r w:rsidR="00A86126">
        <w:t>.</w:t>
      </w:r>
      <w:r w:rsidRPr="00413FEF">
        <w:t xml:space="preserve"> The attitude of trust is basic</w:t>
      </w:r>
      <w:r w:rsidR="00A86126">
        <w:t>.</w:t>
      </w:r>
      <w:r w:rsidRPr="00413FEF">
        <w:t xml:space="preserve"> </w:t>
      </w:r>
      <w:r w:rsidRPr="00413FEF">
        <w:rPr>
          <w:i/>
          <w:iCs/>
        </w:rPr>
        <w:t>Analysis</w:t>
      </w:r>
      <w:r w:rsidRPr="00413FEF">
        <w:t xml:space="preserve"> </w:t>
      </w:r>
      <w:r w:rsidRPr="004756F6">
        <w:rPr>
          <w:i/>
        </w:rPr>
        <w:t>75</w:t>
      </w:r>
      <w:r w:rsidRPr="00413FEF">
        <w:t>(3), 424-429.</w:t>
      </w:r>
    </w:p>
    <w:p w14:paraId="7936922B" w14:textId="3AE014D1" w:rsidR="00887227" w:rsidRPr="00413FEF" w:rsidRDefault="00887227" w:rsidP="00947ED3">
      <w:pPr>
        <w:spacing w:line="360" w:lineRule="auto"/>
        <w:rPr>
          <w:lang w:val="en-US" w:bidi="en-US"/>
        </w:rPr>
      </w:pPr>
      <w:r w:rsidRPr="00413FEF">
        <w:rPr>
          <w:lang w:val="en-US" w:bidi="en-US"/>
        </w:rPr>
        <w:t>Faulkner, P. (2017)</w:t>
      </w:r>
      <w:r w:rsidR="00A86126">
        <w:rPr>
          <w:lang w:val="en-US" w:bidi="en-US"/>
        </w:rPr>
        <w:t>.</w:t>
      </w:r>
      <w:r w:rsidRPr="00413FEF">
        <w:rPr>
          <w:lang w:val="en-US" w:bidi="en-US"/>
        </w:rPr>
        <w:t xml:space="preserve"> The </w:t>
      </w:r>
      <w:r w:rsidR="00A86126">
        <w:rPr>
          <w:lang w:val="en-US" w:bidi="en-US"/>
        </w:rPr>
        <w:t>p</w:t>
      </w:r>
      <w:r w:rsidRPr="00413FEF">
        <w:rPr>
          <w:lang w:val="en-US" w:bidi="en-US"/>
        </w:rPr>
        <w:t xml:space="preserve">roblem of </w:t>
      </w:r>
      <w:r w:rsidR="00A86126">
        <w:rPr>
          <w:lang w:val="en-US" w:bidi="en-US"/>
        </w:rPr>
        <w:t>t</w:t>
      </w:r>
      <w:r w:rsidRPr="00413FEF">
        <w:rPr>
          <w:lang w:val="en-US" w:bidi="en-US"/>
        </w:rPr>
        <w:t xml:space="preserve">rust. In </w:t>
      </w:r>
      <w:r w:rsidR="00A86126">
        <w:rPr>
          <w:lang w:val="en-US" w:bidi="en-US"/>
        </w:rPr>
        <w:t xml:space="preserve">P. </w:t>
      </w:r>
      <w:r w:rsidRPr="00413FEF">
        <w:rPr>
          <w:lang w:val="en-US" w:bidi="en-US"/>
        </w:rPr>
        <w:t>Faulkner</w:t>
      </w:r>
      <w:r w:rsidR="00A86126">
        <w:rPr>
          <w:lang w:val="en-US" w:bidi="en-US"/>
        </w:rPr>
        <w:t xml:space="preserve"> &amp;</w:t>
      </w:r>
      <w:r w:rsidRPr="00413FEF">
        <w:rPr>
          <w:lang w:val="en-US" w:bidi="en-US"/>
        </w:rPr>
        <w:t xml:space="preserve"> </w:t>
      </w:r>
      <w:r w:rsidR="00A86126">
        <w:rPr>
          <w:lang w:val="en-US" w:bidi="en-US"/>
        </w:rPr>
        <w:t xml:space="preserve">T. </w:t>
      </w:r>
      <w:r w:rsidRPr="00413FEF">
        <w:rPr>
          <w:lang w:val="en-US" w:bidi="en-US"/>
        </w:rPr>
        <w:t>Simpson (</w:t>
      </w:r>
      <w:r w:rsidR="00A86126">
        <w:rPr>
          <w:lang w:val="en-US" w:bidi="en-US"/>
        </w:rPr>
        <w:t>E</w:t>
      </w:r>
      <w:r w:rsidRPr="00413FEF">
        <w:rPr>
          <w:lang w:val="en-US" w:bidi="en-US"/>
        </w:rPr>
        <w:t>ds.)</w:t>
      </w:r>
      <w:r w:rsidR="00A86126">
        <w:rPr>
          <w:lang w:val="en-US" w:bidi="en-US"/>
        </w:rPr>
        <w:t>.</w:t>
      </w:r>
      <w:r w:rsidRPr="00413FEF">
        <w:rPr>
          <w:lang w:val="en-US" w:bidi="en-US"/>
        </w:rPr>
        <w:t xml:space="preserve"> </w:t>
      </w:r>
      <w:r w:rsidRPr="004756F6">
        <w:rPr>
          <w:i/>
          <w:lang w:val="en-US" w:bidi="en-US"/>
        </w:rPr>
        <w:t xml:space="preserve">The </w:t>
      </w:r>
      <w:r w:rsidR="00A31CF0" w:rsidRPr="004756F6">
        <w:rPr>
          <w:i/>
          <w:lang w:val="en-US" w:bidi="en-US"/>
        </w:rPr>
        <w:t>p</w:t>
      </w:r>
      <w:r w:rsidRPr="004756F6">
        <w:rPr>
          <w:i/>
          <w:lang w:val="en-US" w:bidi="en-US"/>
        </w:rPr>
        <w:t xml:space="preserve">hilosophy of </w:t>
      </w:r>
      <w:r w:rsidR="00A31CF0" w:rsidRPr="004756F6">
        <w:rPr>
          <w:i/>
          <w:lang w:val="en-US" w:bidi="en-US"/>
        </w:rPr>
        <w:t>t</w:t>
      </w:r>
      <w:r w:rsidRPr="004756F6">
        <w:rPr>
          <w:i/>
          <w:lang w:val="en-US" w:bidi="en-US"/>
        </w:rPr>
        <w:t>rust</w:t>
      </w:r>
      <w:r w:rsidR="00A31CF0">
        <w:rPr>
          <w:lang w:val="en-US" w:bidi="en-US"/>
        </w:rPr>
        <w:t xml:space="preserve"> (</w:t>
      </w:r>
      <w:r w:rsidR="00A31CF0" w:rsidRPr="00413FEF">
        <w:rPr>
          <w:lang w:val="en-US" w:bidi="en-US"/>
        </w:rPr>
        <w:t>pp. 110-129</w:t>
      </w:r>
      <w:r w:rsidR="00A31CF0">
        <w:rPr>
          <w:lang w:val="en-US" w:bidi="en-US"/>
        </w:rPr>
        <w:t xml:space="preserve">). </w:t>
      </w:r>
      <w:r w:rsidRPr="00413FEF">
        <w:rPr>
          <w:lang w:val="en-US" w:bidi="en-US"/>
        </w:rPr>
        <w:t>Oxford University Press.</w:t>
      </w:r>
    </w:p>
    <w:p w14:paraId="38ECD0A8" w14:textId="4982AD31" w:rsidR="00887227" w:rsidRPr="00413FEF" w:rsidRDefault="00887227" w:rsidP="00947ED3">
      <w:pPr>
        <w:spacing w:line="360" w:lineRule="auto"/>
        <w:rPr>
          <w:lang w:val="en-US" w:bidi="en-US"/>
        </w:rPr>
      </w:pPr>
      <w:proofErr w:type="spellStart"/>
      <w:r w:rsidRPr="00413FEF">
        <w:rPr>
          <w:lang w:val="en-US" w:bidi="en-US"/>
        </w:rPr>
        <w:t>Feygina</w:t>
      </w:r>
      <w:proofErr w:type="spellEnd"/>
      <w:r w:rsidRPr="00413FEF">
        <w:rPr>
          <w:lang w:val="en-US" w:bidi="en-US"/>
        </w:rPr>
        <w:t>, I</w:t>
      </w:r>
      <w:r w:rsidR="00304205">
        <w:rPr>
          <w:lang w:val="en-US" w:bidi="en-US"/>
        </w:rPr>
        <w:t>.</w:t>
      </w:r>
      <w:r w:rsidRPr="00413FEF">
        <w:rPr>
          <w:lang w:val="en-US" w:bidi="en-US"/>
        </w:rPr>
        <w:t>, Jost</w:t>
      </w:r>
      <w:r w:rsidR="00304205">
        <w:rPr>
          <w:lang w:val="en-US" w:bidi="en-US"/>
        </w:rPr>
        <w:t xml:space="preserve"> J. T.</w:t>
      </w:r>
      <w:r w:rsidRPr="00413FEF">
        <w:rPr>
          <w:lang w:val="en-US" w:bidi="en-US"/>
        </w:rPr>
        <w:t xml:space="preserve">, </w:t>
      </w:r>
      <w:r w:rsidR="00304205">
        <w:rPr>
          <w:lang w:val="en-US" w:bidi="en-US"/>
        </w:rPr>
        <w:t>&amp;</w:t>
      </w:r>
      <w:r w:rsidR="00304205" w:rsidRPr="00413FEF">
        <w:rPr>
          <w:lang w:val="en-US" w:bidi="en-US"/>
        </w:rPr>
        <w:t xml:space="preserve"> </w:t>
      </w:r>
      <w:r w:rsidRPr="00413FEF">
        <w:rPr>
          <w:lang w:val="en-US" w:bidi="en-US"/>
        </w:rPr>
        <w:t>Goldsmith</w:t>
      </w:r>
      <w:r w:rsidR="00304205">
        <w:rPr>
          <w:lang w:val="en-US" w:bidi="en-US"/>
        </w:rPr>
        <w:t>, R. E</w:t>
      </w:r>
      <w:r w:rsidRPr="00413FEF">
        <w:rPr>
          <w:lang w:val="en-US" w:bidi="en-US"/>
        </w:rPr>
        <w:t xml:space="preserve">. </w:t>
      </w:r>
      <w:r w:rsidR="003D4D83" w:rsidRPr="00413FEF">
        <w:rPr>
          <w:lang w:val="en-US" w:bidi="en-US"/>
        </w:rPr>
        <w:t>(</w:t>
      </w:r>
      <w:r w:rsidRPr="00413FEF">
        <w:rPr>
          <w:lang w:val="en-US" w:bidi="en-US"/>
        </w:rPr>
        <w:t>2010</w:t>
      </w:r>
      <w:r w:rsidR="003D4D83" w:rsidRPr="00413FEF">
        <w:rPr>
          <w:lang w:val="en-US" w:bidi="en-US"/>
        </w:rPr>
        <w:t>)</w:t>
      </w:r>
      <w:r w:rsidR="00304205">
        <w:rPr>
          <w:lang w:val="en-US" w:bidi="en-US"/>
        </w:rPr>
        <w:t>.</w:t>
      </w:r>
      <w:r w:rsidRPr="00413FEF">
        <w:rPr>
          <w:lang w:val="en-US" w:bidi="en-US"/>
        </w:rPr>
        <w:t xml:space="preserve"> System </w:t>
      </w:r>
      <w:r w:rsidR="00304205">
        <w:rPr>
          <w:lang w:val="en-US" w:bidi="en-US"/>
        </w:rPr>
        <w:t>j</w:t>
      </w:r>
      <w:r w:rsidRPr="00413FEF">
        <w:rPr>
          <w:lang w:val="en-US" w:bidi="en-US"/>
        </w:rPr>
        <w:t xml:space="preserve">ustification, the </w:t>
      </w:r>
      <w:r w:rsidR="00304205">
        <w:rPr>
          <w:lang w:val="en-US" w:bidi="en-US"/>
        </w:rPr>
        <w:t>d</w:t>
      </w:r>
      <w:r w:rsidRPr="00413FEF">
        <w:rPr>
          <w:lang w:val="en-US" w:bidi="en-US"/>
        </w:rPr>
        <w:t xml:space="preserve">enial of </w:t>
      </w:r>
      <w:r w:rsidR="00304205">
        <w:rPr>
          <w:lang w:val="en-US" w:bidi="en-US"/>
        </w:rPr>
        <w:t>g</w:t>
      </w:r>
      <w:r w:rsidRPr="00413FEF">
        <w:rPr>
          <w:lang w:val="en-US" w:bidi="en-US"/>
        </w:rPr>
        <w:t xml:space="preserve">lobal </w:t>
      </w:r>
      <w:r w:rsidR="00304205">
        <w:rPr>
          <w:lang w:val="en-US" w:bidi="en-US"/>
        </w:rPr>
        <w:t>w</w:t>
      </w:r>
      <w:r w:rsidRPr="00413FEF">
        <w:rPr>
          <w:lang w:val="en-US" w:bidi="en-US"/>
        </w:rPr>
        <w:t xml:space="preserve">arming, and the </w:t>
      </w:r>
      <w:r w:rsidR="00304205">
        <w:rPr>
          <w:lang w:val="en-US" w:bidi="en-US"/>
        </w:rPr>
        <w:t>p</w:t>
      </w:r>
      <w:r w:rsidRPr="00413FEF">
        <w:rPr>
          <w:lang w:val="en-US" w:bidi="en-US"/>
        </w:rPr>
        <w:t>ossibility of “</w:t>
      </w:r>
      <w:r w:rsidR="00304205">
        <w:rPr>
          <w:lang w:val="en-US" w:bidi="en-US"/>
        </w:rPr>
        <w:t>s</w:t>
      </w:r>
      <w:r w:rsidRPr="00413FEF">
        <w:rPr>
          <w:lang w:val="en-US" w:bidi="en-US"/>
        </w:rPr>
        <w:t>ystem-</w:t>
      </w:r>
      <w:r w:rsidR="00304205">
        <w:rPr>
          <w:lang w:val="en-US" w:bidi="en-US"/>
        </w:rPr>
        <w:t>s</w:t>
      </w:r>
      <w:r w:rsidRPr="00413FEF">
        <w:rPr>
          <w:lang w:val="en-US" w:bidi="en-US"/>
        </w:rPr>
        <w:t xml:space="preserve">anctioned </w:t>
      </w:r>
      <w:r w:rsidR="00304205">
        <w:rPr>
          <w:lang w:val="en-US" w:bidi="en-US"/>
        </w:rPr>
        <w:t>c</w:t>
      </w:r>
      <w:r w:rsidRPr="00413FEF">
        <w:rPr>
          <w:lang w:val="en-US" w:bidi="en-US"/>
        </w:rPr>
        <w:t>hange</w:t>
      </w:r>
      <w:r w:rsidR="00304205">
        <w:rPr>
          <w:lang w:val="en-US" w:bidi="en-US"/>
        </w:rPr>
        <w:t>.</w:t>
      </w:r>
      <w:r w:rsidRPr="00413FEF">
        <w:rPr>
          <w:lang w:val="en-US" w:bidi="en-US"/>
        </w:rPr>
        <w:t xml:space="preserve">” </w:t>
      </w:r>
      <w:r w:rsidRPr="00413FEF">
        <w:rPr>
          <w:i/>
          <w:iCs/>
          <w:lang w:val="en-US" w:bidi="en-US"/>
        </w:rPr>
        <w:t>Personality and Social Psychology Bulletin</w:t>
      </w:r>
      <w:r w:rsidR="00304205">
        <w:rPr>
          <w:i/>
          <w:iCs/>
          <w:lang w:val="en-US" w:bidi="en-US"/>
        </w:rPr>
        <w:t>,</w:t>
      </w:r>
      <w:r w:rsidRPr="00413FEF">
        <w:rPr>
          <w:lang w:val="en-US" w:bidi="en-US"/>
        </w:rPr>
        <w:t xml:space="preserve"> </w:t>
      </w:r>
      <w:r w:rsidRPr="004756F6">
        <w:rPr>
          <w:i/>
          <w:lang w:val="en-US" w:bidi="en-US"/>
        </w:rPr>
        <w:t>36</w:t>
      </w:r>
      <w:r w:rsidRPr="00413FEF">
        <w:rPr>
          <w:lang w:val="en-US" w:bidi="en-US"/>
        </w:rPr>
        <w:t>(3)</w:t>
      </w:r>
      <w:r w:rsidR="00304205">
        <w:rPr>
          <w:lang w:val="en-US" w:bidi="en-US"/>
        </w:rPr>
        <w:t>,</w:t>
      </w:r>
      <w:r w:rsidRPr="00413FEF">
        <w:rPr>
          <w:lang w:val="en-US" w:bidi="en-US"/>
        </w:rPr>
        <w:t xml:space="preserve"> 326–38. https://doi.org/10.1177/0146167209351435.</w:t>
      </w:r>
    </w:p>
    <w:p w14:paraId="6A5C6BB6" w14:textId="48D23850" w:rsidR="003D4D83" w:rsidRPr="00413FEF" w:rsidRDefault="003D4D83" w:rsidP="00947ED3">
      <w:pPr>
        <w:spacing w:line="360" w:lineRule="auto"/>
        <w:rPr>
          <w:lang w:val="en-US" w:bidi="en-US"/>
        </w:rPr>
      </w:pPr>
      <w:r w:rsidRPr="00413FEF">
        <w:rPr>
          <w:lang w:val="en-US" w:bidi="en-US"/>
        </w:rPr>
        <w:t>Foucault, M. (2003)</w:t>
      </w:r>
      <w:r w:rsidR="00011677">
        <w:rPr>
          <w:lang w:val="en-US" w:bidi="en-US"/>
        </w:rPr>
        <w:t>,</w:t>
      </w:r>
      <w:r w:rsidRPr="00413FEF">
        <w:rPr>
          <w:lang w:val="en-US" w:bidi="en-US"/>
        </w:rPr>
        <w:t xml:space="preserve"> </w:t>
      </w:r>
      <w:r w:rsidRPr="00413FEF">
        <w:rPr>
          <w:i/>
          <w:iCs/>
          <w:lang w:val="en-US" w:bidi="en-US"/>
        </w:rPr>
        <w:t xml:space="preserve">Society must be defended: </w:t>
      </w:r>
      <w:r w:rsidR="00011677">
        <w:rPr>
          <w:i/>
          <w:iCs/>
          <w:lang w:val="en-US" w:bidi="en-US"/>
        </w:rPr>
        <w:t>L</w:t>
      </w:r>
      <w:r w:rsidRPr="00413FEF">
        <w:rPr>
          <w:i/>
          <w:iCs/>
          <w:lang w:val="en-US" w:bidi="en-US"/>
        </w:rPr>
        <w:t xml:space="preserve">ectures at the </w:t>
      </w:r>
      <w:proofErr w:type="spellStart"/>
      <w:r w:rsidRPr="00413FEF">
        <w:rPr>
          <w:i/>
          <w:iCs/>
          <w:lang w:val="en-US" w:bidi="en-US"/>
        </w:rPr>
        <w:t>Collège</w:t>
      </w:r>
      <w:proofErr w:type="spellEnd"/>
      <w:r w:rsidRPr="00413FEF">
        <w:rPr>
          <w:i/>
          <w:iCs/>
          <w:lang w:val="en-US" w:bidi="en-US"/>
        </w:rPr>
        <w:t xml:space="preserve"> de France, 1975-76</w:t>
      </w:r>
      <w:r w:rsidRPr="00413FEF">
        <w:rPr>
          <w:lang w:val="en-US" w:bidi="en-US"/>
        </w:rPr>
        <w:t xml:space="preserve">. </w:t>
      </w:r>
      <w:r w:rsidR="00011677">
        <w:rPr>
          <w:lang w:val="en-US" w:bidi="en-US"/>
        </w:rPr>
        <w:t>(</w:t>
      </w:r>
      <w:r w:rsidRPr="00413FEF">
        <w:rPr>
          <w:lang w:val="en-US" w:bidi="en-US"/>
        </w:rPr>
        <w:t>M</w:t>
      </w:r>
      <w:r w:rsidR="00011677">
        <w:rPr>
          <w:lang w:val="en-US" w:bidi="en-US"/>
        </w:rPr>
        <w:t>.</w:t>
      </w:r>
      <w:r w:rsidRPr="00413FEF">
        <w:rPr>
          <w:lang w:val="en-US" w:bidi="en-US"/>
        </w:rPr>
        <w:t xml:space="preserve"> Bertani, A</w:t>
      </w:r>
      <w:r w:rsidR="00011677">
        <w:rPr>
          <w:lang w:val="en-US" w:bidi="en-US"/>
        </w:rPr>
        <w:t xml:space="preserve">. </w:t>
      </w:r>
      <w:r w:rsidRPr="00413FEF">
        <w:rPr>
          <w:lang w:val="en-US" w:bidi="en-US"/>
        </w:rPr>
        <w:t>Fontana, F</w:t>
      </w:r>
      <w:r w:rsidR="00011677">
        <w:rPr>
          <w:lang w:val="en-US" w:bidi="en-US"/>
        </w:rPr>
        <w:t>.</w:t>
      </w:r>
      <w:r w:rsidRPr="00413FEF">
        <w:rPr>
          <w:lang w:val="en-US" w:bidi="en-US"/>
        </w:rPr>
        <w:t xml:space="preserve"> Ewald</w:t>
      </w:r>
      <w:r w:rsidR="00011677">
        <w:rPr>
          <w:lang w:val="en-US" w:bidi="en-US"/>
        </w:rPr>
        <w:t>,</w:t>
      </w:r>
      <w:r w:rsidRPr="00413FEF">
        <w:rPr>
          <w:lang w:val="en-US" w:bidi="en-US"/>
        </w:rPr>
        <w:t xml:space="preserve"> &amp; D</w:t>
      </w:r>
      <w:r w:rsidR="00011677">
        <w:rPr>
          <w:lang w:val="en-US" w:bidi="en-US"/>
        </w:rPr>
        <w:t>.</w:t>
      </w:r>
      <w:r w:rsidRPr="00413FEF">
        <w:rPr>
          <w:lang w:val="en-US" w:bidi="en-US"/>
        </w:rPr>
        <w:t xml:space="preserve"> Macey</w:t>
      </w:r>
      <w:r w:rsidR="00011677">
        <w:rPr>
          <w:lang w:val="en-US" w:bidi="en-US"/>
        </w:rPr>
        <w:t xml:space="preserve"> (Eds.)</w:t>
      </w:r>
      <w:r w:rsidRPr="00413FEF">
        <w:rPr>
          <w:lang w:val="en-US" w:bidi="en-US"/>
        </w:rPr>
        <w:t xml:space="preserve">. Picador. </w:t>
      </w:r>
    </w:p>
    <w:p w14:paraId="550B0AA5" w14:textId="4B340788" w:rsidR="003D4D83" w:rsidRPr="00413FEF" w:rsidRDefault="003D4D83" w:rsidP="00947ED3">
      <w:pPr>
        <w:spacing w:line="360" w:lineRule="auto"/>
        <w:rPr>
          <w:lang w:val="en-US" w:bidi="en-US"/>
        </w:rPr>
      </w:pPr>
      <w:r w:rsidRPr="00413FEF">
        <w:rPr>
          <w:lang w:val="en-US" w:bidi="en-US"/>
        </w:rPr>
        <w:lastRenderedPageBreak/>
        <w:t>Fricker, M. (2007)</w:t>
      </w:r>
      <w:r w:rsidR="00023B16">
        <w:rPr>
          <w:lang w:val="en-US" w:bidi="en-US"/>
        </w:rPr>
        <w:t>.</w:t>
      </w:r>
      <w:r w:rsidRPr="00413FEF">
        <w:rPr>
          <w:lang w:val="en-US" w:bidi="en-US"/>
        </w:rPr>
        <w:t xml:space="preserve"> </w:t>
      </w:r>
      <w:r w:rsidRPr="00413FEF">
        <w:rPr>
          <w:i/>
          <w:iCs/>
          <w:lang w:val="en-US" w:bidi="en-US"/>
        </w:rPr>
        <w:t xml:space="preserve">Epistemic injustice: </w:t>
      </w:r>
      <w:r w:rsidR="000C5EF2">
        <w:rPr>
          <w:i/>
          <w:iCs/>
          <w:lang w:val="en-US" w:bidi="en-US"/>
        </w:rPr>
        <w:t>P</w:t>
      </w:r>
      <w:r w:rsidRPr="00413FEF">
        <w:rPr>
          <w:i/>
          <w:iCs/>
          <w:lang w:val="en-US" w:bidi="en-US"/>
        </w:rPr>
        <w:t>ower and the ethics of knowing.</w:t>
      </w:r>
      <w:r w:rsidRPr="00413FEF">
        <w:rPr>
          <w:lang w:val="en-US" w:bidi="en-US"/>
        </w:rPr>
        <w:t xml:space="preserve"> Oxford University Press.</w:t>
      </w:r>
    </w:p>
    <w:p w14:paraId="717F0DEA" w14:textId="5C2E0A7C" w:rsidR="00887227" w:rsidRPr="00413FEF" w:rsidRDefault="00887227" w:rsidP="00947ED3">
      <w:pPr>
        <w:spacing w:line="360" w:lineRule="auto"/>
        <w:rPr>
          <w:lang w:val="en-US" w:bidi="en-US"/>
        </w:rPr>
      </w:pPr>
      <w:r w:rsidRPr="00413FEF">
        <w:rPr>
          <w:lang w:val="en-US" w:bidi="en-US"/>
        </w:rPr>
        <w:t>Frost-Arnold, K. (2013)</w:t>
      </w:r>
      <w:r w:rsidR="00AE253C">
        <w:rPr>
          <w:lang w:val="en-US" w:bidi="en-US"/>
        </w:rPr>
        <w:t>.</w:t>
      </w:r>
      <w:r w:rsidRPr="00413FEF">
        <w:rPr>
          <w:lang w:val="en-US" w:bidi="en-US"/>
        </w:rPr>
        <w:t xml:space="preserve"> Moral </w:t>
      </w:r>
      <w:r w:rsidR="00AE253C">
        <w:rPr>
          <w:lang w:val="en-US" w:bidi="en-US"/>
        </w:rPr>
        <w:t>t</w:t>
      </w:r>
      <w:r w:rsidRPr="00413FEF">
        <w:rPr>
          <w:lang w:val="en-US" w:bidi="en-US"/>
        </w:rPr>
        <w:t xml:space="preserve">rust and </w:t>
      </w:r>
      <w:r w:rsidR="00AE253C">
        <w:rPr>
          <w:lang w:val="en-US" w:bidi="en-US"/>
        </w:rPr>
        <w:t>s</w:t>
      </w:r>
      <w:r w:rsidRPr="00413FEF">
        <w:rPr>
          <w:lang w:val="en-US" w:bidi="en-US"/>
        </w:rPr>
        <w:t xml:space="preserve">cientific </w:t>
      </w:r>
      <w:r w:rsidR="00AE253C">
        <w:rPr>
          <w:lang w:val="en-US" w:bidi="en-US"/>
        </w:rPr>
        <w:t>c</w:t>
      </w:r>
      <w:r w:rsidRPr="00413FEF">
        <w:rPr>
          <w:lang w:val="en-US" w:bidi="en-US"/>
        </w:rPr>
        <w:t xml:space="preserve">ollaboration. </w:t>
      </w:r>
      <w:r w:rsidRPr="004756F6">
        <w:rPr>
          <w:i/>
          <w:lang w:val="en-US" w:bidi="en-US"/>
        </w:rPr>
        <w:t xml:space="preserve">Studies in History and Philosophy of </w:t>
      </w:r>
      <w:r w:rsidRPr="00AE253C">
        <w:rPr>
          <w:lang w:val="en-US" w:bidi="en-US"/>
        </w:rPr>
        <w:t>Science Part A,</w:t>
      </w:r>
      <w:r w:rsidRPr="00413FEF">
        <w:rPr>
          <w:lang w:val="en-US" w:bidi="en-US"/>
        </w:rPr>
        <w:t xml:space="preserve"> </w:t>
      </w:r>
      <w:r w:rsidRPr="004756F6">
        <w:rPr>
          <w:i/>
          <w:lang w:val="en-US" w:bidi="en-US"/>
        </w:rPr>
        <w:t>44</w:t>
      </w:r>
      <w:r w:rsidRPr="00413FEF">
        <w:rPr>
          <w:lang w:val="en-US" w:bidi="en-US"/>
        </w:rPr>
        <w:t>(3), 301-310.</w:t>
      </w:r>
    </w:p>
    <w:p w14:paraId="106DB284" w14:textId="21AB8B4F" w:rsidR="003D4D83" w:rsidRPr="00413FEF" w:rsidRDefault="00887227" w:rsidP="00947ED3">
      <w:pPr>
        <w:spacing w:line="360" w:lineRule="auto"/>
        <w:rPr>
          <w:lang w:val="en-US" w:bidi="en-US"/>
        </w:rPr>
      </w:pPr>
      <w:r w:rsidRPr="00413FEF">
        <w:rPr>
          <w:lang w:val="en-US" w:bidi="en-US"/>
        </w:rPr>
        <w:t xml:space="preserve">Furman, </w:t>
      </w:r>
      <w:r w:rsidR="003D4D83" w:rsidRPr="00413FEF">
        <w:rPr>
          <w:lang w:val="en-US" w:bidi="en-US"/>
        </w:rPr>
        <w:t>K.</w:t>
      </w:r>
      <w:r w:rsidRPr="00413FEF">
        <w:rPr>
          <w:lang w:val="en-US" w:bidi="en-US"/>
        </w:rPr>
        <w:t xml:space="preserve"> </w:t>
      </w:r>
      <w:r w:rsidR="003D4D83" w:rsidRPr="00413FEF">
        <w:rPr>
          <w:lang w:val="en-US" w:bidi="en-US"/>
        </w:rPr>
        <w:t>(</w:t>
      </w:r>
      <w:r w:rsidRPr="00413FEF">
        <w:rPr>
          <w:lang w:val="en-US" w:bidi="en-US"/>
        </w:rPr>
        <w:t>2020</w:t>
      </w:r>
      <w:r w:rsidR="003D4D83" w:rsidRPr="00413FEF">
        <w:rPr>
          <w:lang w:val="en-US" w:bidi="en-US"/>
        </w:rPr>
        <w:t>)</w:t>
      </w:r>
      <w:r w:rsidR="000966C5">
        <w:rPr>
          <w:lang w:val="en-US" w:bidi="en-US"/>
        </w:rPr>
        <w:t>.</w:t>
      </w:r>
      <w:r w:rsidRPr="00413FEF">
        <w:rPr>
          <w:lang w:val="en-US" w:bidi="en-US"/>
        </w:rPr>
        <w:t xml:space="preserve"> Emotions and </w:t>
      </w:r>
      <w:r w:rsidR="000966C5">
        <w:rPr>
          <w:lang w:val="en-US" w:bidi="en-US"/>
        </w:rPr>
        <w:t>d</w:t>
      </w:r>
      <w:r w:rsidRPr="00413FEF">
        <w:rPr>
          <w:lang w:val="en-US" w:bidi="en-US"/>
        </w:rPr>
        <w:t xml:space="preserve">istrust in </w:t>
      </w:r>
      <w:r w:rsidR="000966C5">
        <w:rPr>
          <w:lang w:val="en-US" w:bidi="en-US"/>
        </w:rPr>
        <w:t>s</w:t>
      </w:r>
      <w:r w:rsidRPr="00413FEF">
        <w:rPr>
          <w:lang w:val="en-US" w:bidi="en-US"/>
        </w:rPr>
        <w:t xml:space="preserve">cience. </w:t>
      </w:r>
      <w:r w:rsidRPr="004756F6">
        <w:rPr>
          <w:i/>
          <w:lang w:val="en-US" w:bidi="en-US"/>
        </w:rPr>
        <w:t>International Journal of Philosophical Studies</w:t>
      </w:r>
      <w:r w:rsidRPr="00413FEF">
        <w:rPr>
          <w:lang w:val="en-US" w:bidi="en-US"/>
        </w:rPr>
        <w:t xml:space="preserve"> </w:t>
      </w:r>
      <w:r w:rsidRPr="004756F6">
        <w:rPr>
          <w:i/>
          <w:lang w:val="en-US" w:bidi="en-US"/>
        </w:rPr>
        <w:t>28</w:t>
      </w:r>
      <w:r w:rsidRPr="00413FEF">
        <w:rPr>
          <w:lang w:val="en-US" w:bidi="en-US"/>
        </w:rPr>
        <w:t>(5)</w:t>
      </w:r>
      <w:r w:rsidR="000966C5">
        <w:rPr>
          <w:lang w:val="en-US" w:bidi="en-US"/>
        </w:rPr>
        <w:t>,</w:t>
      </w:r>
      <w:r w:rsidRPr="00413FEF">
        <w:rPr>
          <w:lang w:val="en-US" w:bidi="en-US"/>
        </w:rPr>
        <w:t xml:space="preserve"> 713–30. </w:t>
      </w:r>
      <w:hyperlink r:id="rId13" w:history="1">
        <w:r w:rsidR="003D4D83" w:rsidRPr="00413FEF">
          <w:rPr>
            <w:rStyle w:val="Hyperlink"/>
            <w:lang w:val="en-US" w:bidi="en-US"/>
          </w:rPr>
          <w:t>https://doi.org/10.1080/09672559.2020.1846281</w:t>
        </w:r>
      </w:hyperlink>
      <w:r w:rsidRPr="00413FEF">
        <w:rPr>
          <w:lang w:val="en-US" w:bidi="en-US"/>
        </w:rPr>
        <w:t>.</w:t>
      </w:r>
    </w:p>
    <w:p w14:paraId="4D24B44A" w14:textId="66A57D05" w:rsidR="003D4D83" w:rsidRPr="00413FEF" w:rsidRDefault="00A5201B" w:rsidP="00947ED3">
      <w:pPr>
        <w:spacing w:line="360" w:lineRule="auto"/>
        <w:rPr>
          <w:lang w:val="en-US" w:bidi="en-US"/>
        </w:rPr>
      </w:pPr>
      <w:r w:rsidRPr="00413FEF">
        <w:rPr>
          <w:lang w:val="en-US" w:bidi="en-US"/>
        </w:rPr>
        <w:t>Goldberg, Sanford C. (2020)</w:t>
      </w:r>
      <w:r w:rsidR="000966C5">
        <w:rPr>
          <w:lang w:val="en-US" w:bidi="en-US"/>
        </w:rPr>
        <w:t>.</w:t>
      </w:r>
      <w:r w:rsidRPr="00413FEF">
        <w:rPr>
          <w:lang w:val="en-US" w:bidi="en-US"/>
        </w:rPr>
        <w:t xml:space="preserve"> Epistemically engineered environments. </w:t>
      </w:r>
      <w:r w:rsidRPr="00413FEF">
        <w:rPr>
          <w:i/>
          <w:iCs/>
          <w:lang w:val="en-US" w:bidi="en-US"/>
        </w:rPr>
        <w:t>Synthese</w:t>
      </w:r>
      <w:r w:rsidR="000966C5">
        <w:rPr>
          <w:i/>
          <w:iCs/>
          <w:lang w:val="en-US" w:bidi="en-US"/>
        </w:rPr>
        <w:t>,</w:t>
      </w:r>
      <w:r w:rsidRPr="00413FEF">
        <w:rPr>
          <w:lang w:val="en-US" w:bidi="en-US"/>
        </w:rPr>
        <w:t xml:space="preserve"> </w:t>
      </w:r>
      <w:r w:rsidRPr="004756F6">
        <w:rPr>
          <w:i/>
          <w:lang w:val="en-US" w:bidi="en-US"/>
        </w:rPr>
        <w:t>197</w:t>
      </w:r>
      <w:r w:rsidRPr="00413FEF">
        <w:rPr>
          <w:lang w:val="en-US" w:bidi="en-US"/>
        </w:rPr>
        <w:t>(7)</w:t>
      </w:r>
      <w:r w:rsidR="000966C5">
        <w:rPr>
          <w:lang w:val="en-US" w:bidi="en-US"/>
        </w:rPr>
        <w:t xml:space="preserve">, </w:t>
      </w:r>
      <w:r w:rsidRPr="00413FEF">
        <w:rPr>
          <w:lang w:val="en-US" w:bidi="en-US"/>
        </w:rPr>
        <w:t>2783-2802.</w:t>
      </w:r>
    </w:p>
    <w:p w14:paraId="27E58BA7" w14:textId="6E87C52D" w:rsidR="00887227" w:rsidRPr="00413FEF" w:rsidRDefault="00887227" w:rsidP="00947ED3">
      <w:pPr>
        <w:spacing w:line="360" w:lineRule="auto"/>
        <w:rPr>
          <w:lang w:val="en-US" w:bidi="en-US"/>
        </w:rPr>
      </w:pPr>
      <w:r w:rsidRPr="00413FEF">
        <w:rPr>
          <w:lang w:val="en-US" w:bidi="en-US"/>
        </w:rPr>
        <w:t>Goldenberg, M</w:t>
      </w:r>
      <w:r w:rsidR="005270A8">
        <w:rPr>
          <w:lang w:val="en-US" w:bidi="en-US"/>
        </w:rPr>
        <w:t>.</w:t>
      </w:r>
      <w:r w:rsidRPr="00413FEF">
        <w:rPr>
          <w:lang w:val="en-US" w:bidi="en-US"/>
        </w:rPr>
        <w:t xml:space="preserve"> J. (2016)</w:t>
      </w:r>
      <w:r w:rsidR="005270A8">
        <w:rPr>
          <w:lang w:val="en-US" w:bidi="en-US"/>
        </w:rPr>
        <w:t>.</w:t>
      </w:r>
      <w:r w:rsidRPr="00413FEF">
        <w:rPr>
          <w:lang w:val="en-US" w:bidi="en-US"/>
        </w:rPr>
        <w:t xml:space="preserve"> Public </w:t>
      </w:r>
      <w:r w:rsidR="005270A8">
        <w:rPr>
          <w:lang w:val="en-US" w:bidi="en-US"/>
        </w:rPr>
        <w:t>m</w:t>
      </w:r>
      <w:r w:rsidRPr="00413FEF">
        <w:rPr>
          <w:lang w:val="en-US" w:bidi="en-US"/>
        </w:rPr>
        <w:t xml:space="preserve">isunderstanding of </w:t>
      </w:r>
      <w:r w:rsidR="005270A8">
        <w:rPr>
          <w:lang w:val="en-US" w:bidi="en-US"/>
        </w:rPr>
        <w:t>s</w:t>
      </w:r>
      <w:r w:rsidRPr="00413FEF">
        <w:rPr>
          <w:lang w:val="en-US" w:bidi="en-US"/>
        </w:rPr>
        <w:t xml:space="preserve">cience? Reframing the </w:t>
      </w:r>
      <w:r w:rsidR="005270A8">
        <w:rPr>
          <w:lang w:val="en-US" w:bidi="en-US"/>
        </w:rPr>
        <w:t>p</w:t>
      </w:r>
      <w:r w:rsidRPr="00413FEF">
        <w:rPr>
          <w:lang w:val="en-US" w:bidi="en-US"/>
        </w:rPr>
        <w:t xml:space="preserve">roblem of </w:t>
      </w:r>
      <w:r w:rsidR="005270A8">
        <w:rPr>
          <w:lang w:val="en-US" w:bidi="en-US"/>
        </w:rPr>
        <w:t>v</w:t>
      </w:r>
      <w:r w:rsidRPr="00413FEF">
        <w:rPr>
          <w:lang w:val="en-US" w:bidi="en-US"/>
        </w:rPr>
        <w:t xml:space="preserve">accine </w:t>
      </w:r>
      <w:r w:rsidR="005270A8">
        <w:rPr>
          <w:lang w:val="en-US" w:bidi="en-US"/>
        </w:rPr>
        <w:t>h</w:t>
      </w:r>
      <w:r w:rsidRPr="00413FEF">
        <w:rPr>
          <w:lang w:val="en-US" w:bidi="en-US"/>
        </w:rPr>
        <w:t xml:space="preserve">esitancy. </w:t>
      </w:r>
      <w:r w:rsidRPr="004756F6">
        <w:rPr>
          <w:i/>
          <w:lang w:val="en-US" w:bidi="en-US"/>
        </w:rPr>
        <w:t>Perspectives on Science</w:t>
      </w:r>
      <w:r w:rsidR="004D59CD">
        <w:rPr>
          <w:lang w:val="en-US" w:bidi="en-US"/>
        </w:rPr>
        <w:t>,</w:t>
      </w:r>
      <w:r w:rsidRPr="00413FEF">
        <w:rPr>
          <w:lang w:val="en-US" w:bidi="en-US"/>
        </w:rPr>
        <w:t xml:space="preserve"> </w:t>
      </w:r>
      <w:r w:rsidRPr="004756F6">
        <w:rPr>
          <w:i/>
          <w:lang w:val="en-US" w:bidi="en-US"/>
        </w:rPr>
        <w:t>24</w:t>
      </w:r>
      <w:r w:rsidRPr="00413FEF">
        <w:rPr>
          <w:lang w:val="en-US" w:bidi="en-US"/>
        </w:rPr>
        <w:t>(5)</w:t>
      </w:r>
      <w:r w:rsidR="004D59CD">
        <w:rPr>
          <w:lang w:val="en-US" w:bidi="en-US"/>
        </w:rPr>
        <w:t>,</w:t>
      </w:r>
      <w:r w:rsidRPr="00413FEF">
        <w:rPr>
          <w:lang w:val="en-US" w:bidi="en-US"/>
        </w:rPr>
        <w:t xml:space="preserve"> 552–81. https://doi.org/10.1162/POSC_a_00223.</w:t>
      </w:r>
    </w:p>
    <w:p w14:paraId="2E5625BB" w14:textId="2BEF7DCB" w:rsidR="00887227" w:rsidRPr="00413FEF" w:rsidRDefault="00887227" w:rsidP="006729B4">
      <w:pPr>
        <w:spacing w:line="360" w:lineRule="auto"/>
        <w:rPr>
          <w:lang w:val="en-GB"/>
        </w:rPr>
      </w:pPr>
      <w:r w:rsidRPr="00413FEF">
        <w:rPr>
          <w:lang w:val="en-GB"/>
        </w:rPr>
        <w:t>Govier, T</w:t>
      </w:r>
      <w:r w:rsidR="00A5201B" w:rsidRPr="00413FEF">
        <w:rPr>
          <w:lang w:val="en-GB"/>
        </w:rPr>
        <w:t>.</w:t>
      </w:r>
      <w:r w:rsidRPr="00413FEF">
        <w:rPr>
          <w:lang w:val="en-GB"/>
        </w:rPr>
        <w:t xml:space="preserve"> </w:t>
      </w:r>
      <w:r w:rsidR="00A5201B" w:rsidRPr="00413FEF">
        <w:rPr>
          <w:lang w:val="en-GB"/>
        </w:rPr>
        <w:t>(</w:t>
      </w:r>
      <w:r w:rsidRPr="00413FEF">
        <w:rPr>
          <w:lang w:val="en-GB"/>
        </w:rPr>
        <w:t>1992</w:t>
      </w:r>
      <w:r w:rsidR="00A5201B" w:rsidRPr="00413FEF">
        <w:rPr>
          <w:lang w:val="en-GB"/>
        </w:rPr>
        <w:t>)</w:t>
      </w:r>
      <w:r w:rsidR="002E1EB1">
        <w:rPr>
          <w:lang w:val="en-GB"/>
        </w:rPr>
        <w:t>.</w:t>
      </w:r>
      <w:r w:rsidRPr="00413FEF">
        <w:rPr>
          <w:lang w:val="en-GB"/>
        </w:rPr>
        <w:t xml:space="preserve"> Trust, </w:t>
      </w:r>
      <w:r w:rsidR="002E1EB1">
        <w:rPr>
          <w:lang w:val="en-GB"/>
        </w:rPr>
        <w:t>d</w:t>
      </w:r>
      <w:r w:rsidRPr="00413FEF">
        <w:rPr>
          <w:lang w:val="en-GB"/>
        </w:rPr>
        <w:t xml:space="preserve">istrust, and </w:t>
      </w:r>
      <w:r w:rsidR="002E1EB1">
        <w:rPr>
          <w:lang w:val="en-GB"/>
        </w:rPr>
        <w:t>f</w:t>
      </w:r>
      <w:r w:rsidRPr="00413FEF">
        <w:rPr>
          <w:lang w:val="en-GB"/>
        </w:rPr>
        <w:t xml:space="preserve">eminist </w:t>
      </w:r>
      <w:r w:rsidR="002E1EB1">
        <w:rPr>
          <w:lang w:val="en-GB"/>
        </w:rPr>
        <w:t>t</w:t>
      </w:r>
      <w:r w:rsidRPr="00413FEF">
        <w:rPr>
          <w:lang w:val="en-GB"/>
        </w:rPr>
        <w:t>heory</w:t>
      </w:r>
      <w:r w:rsidR="002E1EB1">
        <w:rPr>
          <w:lang w:val="en-GB"/>
        </w:rPr>
        <w:t>.</w:t>
      </w:r>
      <w:r w:rsidRPr="00413FEF">
        <w:rPr>
          <w:lang w:val="en-GB"/>
        </w:rPr>
        <w:t> </w:t>
      </w:r>
      <w:r w:rsidRPr="00413FEF">
        <w:rPr>
          <w:i/>
          <w:iCs/>
          <w:lang w:val="en-GB"/>
        </w:rPr>
        <w:t>Hypatia</w:t>
      </w:r>
      <w:r w:rsidRPr="00413FEF">
        <w:rPr>
          <w:lang w:val="en-GB"/>
        </w:rPr>
        <w:t xml:space="preserve">, </w:t>
      </w:r>
      <w:r w:rsidRPr="004756F6">
        <w:rPr>
          <w:i/>
          <w:lang w:val="en-GB"/>
        </w:rPr>
        <w:t>7</w:t>
      </w:r>
      <w:r w:rsidRPr="00413FEF">
        <w:rPr>
          <w:lang w:val="en-GB"/>
        </w:rPr>
        <w:t>(1)</w:t>
      </w:r>
      <w:r w:rsidR="002E1EB1">
        <w:rPr>
          <w:lang w:val="en-GB"/>
        </w:rPr>
        <w:t>,</w:t>
      </w:r>
      <w:r w:rsidRPr="00413FEF">
        <w:rPr>
          <w:lang w:val="en-GB"/>
        </w:rPr>
        <w:t xml:space="preserve"> 16–33. doi:10.1111/j.1527-</w:t>
      </w:r>
      <w:proofErr w:type="gramStart"/>
      <w:r w:rsidRPr="00413FEF">
        <w:rPr>
          <w:lang w:val="en-GB"/>
        </w:rPr>
        <w:t>2001.1992.tb</w:t>
      </w:r>
      <w:proofErr w:type="gramEnd"/>
      <w:r w:rsidRPr="00413FEF">
        <w:rPr>
          <w:lang w:val="en-GB"/>
        </w:rPr>
        <w:t>00695.x</w:t>
      </w:r>
    </w:p>
    <w:p w14:paraId="39F22FF4" w14:textId="1E9DDCC9" w:rsidR="00887227" w:rsidRPr="00413FEF" w:rsidRDefault="00887227" w:rsidP="00947ED3">
      <w:pPr>
        <w:spacing w:line="360" w:lineRule="auto"/>
        <w:rPr>
          <w:lang w:val="en-GB" w:bidi="en-US"/>
        </w:rPr>
      </w:pPr>
      <w:r w:rsidRPr="00413FEF">
        <w:rPr>
          <w:lang w:val="en-GB" w:bidi="en-US"/>
        </w:rPr>
        <w:t>Graham, P</w:t>
      </w:r>
      <w:r w:rsidR="002A5839">
        <w:rPr>
          <w:lang w:val="en-GB" w:bidi="en-US"/>
        </w:rPr>
        <w:t>.</w:t>
      </w:r>
      <w:r w:rsidRPr="00413FEF">
        <w:rPr>
          <w:lang w:val="en-GB" w:bidi="en-US"/>
        </w:rPr>
        <w:t xml:space="preserve"> J. </w:t>
      </w:r>
      <w:r w:rsidR="0079296A" w:rsidRPr="00413FEF">
        <w:rPr>
          <w:lang w:val="en-GB" w:bidi="en-US"/>
        </w:rPr>
        <w:t>(</w:t>
      </w:r>
      <w:r w:rsidRPr="00413FEF">
        <w:rPr>
          <w:lang w:val="en-GB" w:bidi="en-US"/>
        </w:rPr>
        <w:t>2012</w:t>
      </w:r>
      <w:r w:rsidR="0079296A" w:rsidRPr="00413FEF">
        <w:rPr>
          <w:lang w:val="en-GB" w:bidi="en-US"/>
        </w:rPr>
        <w:t>)</w:t>
      </w:r>
      <w:r w:rsidR="002A5839">
        <w:rPr>
          <w:lang w:val="en-GB" w:bidi="en-US"/>
        </w:rPr>
        <w:t>.</w:t>
      </w:r>
      <w:r w:rsidRPr="00413FEF">
        <w:rPr>
          <w:lang w:val="en-GB" w:bidi="en-US"/>
        </w:rPr>
        <w:t xml:space="preserve"> Testimony, </w:t>
      </w:r>
      <w:r w:rsidR="002A5839">
        <w:rPr>
          <w:lang w:val="en-GB" w:bidi="en-US"/>
        </w:rPr>
        <w:t>t</w:t>
      </w:r>
      <w:r w:rsidRPr="00413FEF">
        <w:rPr>
          <w:lang w:val="en-GB" w:bidi="en-US"/>
        </w:rPr>
        <w:t xml:space="preserve">rust, and </w:t>
      </w:r>
      <w:r w:rsidR="002A5839">
        <w:rPr>
          <w:lang w:val="en-GB" w:bidi="en-US"/>
        </w:rPr>
        <w:t>s</w:t>
      </w:r>
      <w:r w:rsidRPr="00413FEF">
        <w:rPr>
          <w:lang w:val="en-GB" w:bidi="en-US"/>
        </w:rPr>
        <w:t xml:space="preserve">ocial </w:t>
      </w:r>
      <w:r w:rsidR="002A5839">
        <w:rPr>
          <w:lang w:val="en-GB" w:bidi="en-US"/>
        </w:rPr>
        <w:t>n</w:t>
      </w:r>
      <w:r w:rsidRPr="00413FEF">
        <w:rPr>
          <w:lang w:val="en-GB" w:bidi="en-US"/>
        </w:rPr>
        <w:t xml:space="preserve">orms. </w:t>
      </w:r>
      <w:r w:rsidRPr="00413FEF">
        <w:rPr>
          <w:i/>
          <w:iCs/>
          <w:lang w:val="en-GB" w:bidi="en-US"/>
        </w:rPr>
        <w:t xml:space="preserve">Abstracta </w:t>
      </w:r>
      <w:r w:rsidRPr="004756F6">
        <w:rPr>
          <w:i/>
          <w:lang w:val="en-GB" w:bidi="en-US"/>
        </w:rPr>
        <w:t>6</w:t>
      </w:r>
      <w:r w:rsidRPr="00413FEF">
        <w:rPr>
          <w:lang w:val="en-GB" w:bidi="en-US"/>
        </w:rPr>
        <w:t>(3)</w:t>
      </w:r>
      <w:r w:rsidR="002A5839">
        <w:rPr>
          <w:lang w:val="en-GB" w:bidi="en-US"/>
        </w:rPr>
        <w:t>,</w:t>
      </w:r>
      <w:r w:rsidRPr="00413FEF">
        <w:rPr>
          <w:lang w:val="en-GB" w:bidi="en-US"/>
        </w:rPr>
        <w:t xml:space="preserve"> 92–116.</w:t>
      </w:r>
    </w:p>
    <w:p w14:paraId="1B268640" w14:textId="1C7763AD" w:rsidR="00887227" w:rsidRPr="00413FEF" w:rsidRDefault="00887227" w:rsidP="00947ED3">
      <w:pPr>
        <w:spacing w:line="360" w:lineRule="auto"/>
        <w:rPr>
          <w:lang w:val="en-US" w:bidi="en-US"/>
        </w:rPr>
      </w:pPr>
      <w:r w:rsidRPr="00413FEF">
        <w:rPr>
          <w:lang w:val="en-US" w:bidi="en-US"/>
        </w:rPr>
        <w:t>Grasswick, H. (2020)</w:t>
      </w:r>
      <w:r w:rsidR="009306AF">
        <w:rPr>
          <w:lang w:val="en-US" w:bidi="en-US"/>
        </w:rPr>
        <w:t>.</w:t>
      </w:r>
      <w:r w:rsidRPr="00413FEF">
        <w:rPr>
          <w:lang w:val="en-US" w:bidi="en-US"/>
        </w:rPr>
        <w:t xml:space="preserve"> Reconciling </w:t>
      </w:r>
      <w:r w:rsidR="009306AF">
        <w:rPr>
          <w:lang w:val="en-US" w:bidi="en-US"/>
        </w:rPr>
        <w:t>e</w:t>
      </w:r>
      <w:r w:rsidRPr="00413FEF">
        <w:rPr>
          <w:lang w:val="en-US" w:bidi="en-US"/>
        </w:rPr>
        <w:t xml:space="preserve">pistemic </w:t>
      </w:r>
      <w:r w:rsidR="009306AF">
        <w:rPr>
          <w:lang w:val="en-US" w:bidi="en-US"/>
        </w:rPr>
        <w:t>t</w:t>
      </w:r>
      <w:r w:rsidRPr="00413FEF">
        <w:rPr>
          <w:lang w:val="en-US" w:bidi="en-US"/>
        </w:rPr>
        <w:t xml:space="preserve">rust and </w:t>
      </w:r>
      <w:r w:rsidR="009306AF">
        <w:rPr>
          <w:lang w:val="en-US" w:bidi="en-US"/>
        </w:rPr>
        <w:t>r</w:t>
      </w:r>
      <w:r w:rsidRPr="00413FEF">
        <w:rPr>
          <w:lang w:val="en-US" w:bidi="en-US"/>
        </w:rPr>
        <w:t xml:space="preserve">esponsibility. In </w:t>
      </w:r>
      <w:r w:rsidR="009306AF">
        <w:rPr>
          <w:lang w:val="en-US" w:bidi="en-US"/>
        </w:rPr>
        <w:t xml:space="preserve">K. </w:t>
      </w:r>
      <w:proofErr w:type="spellStart"/>
      <w:r w:rsidRPr="00413FEF">
        <w:rPr>
          <w:lang w:val="en-US" w:bidi="en-US"/>
        </w:rPr>
        <w:t>Dormandy</w:t>
      </w:r>
      <w:proofErr w:type="spellEnd"/>
      <w:r w:rsidRPr="00413FEF">
        <w:rPr>
          <w:lang w:val="en-US" w:bidi="en-US"/>
        </w:rPr>
        <w:t xml:space="preserve"> (</w:t>
      </w:r>
      <w:r w:rsidR="009306AF">
        <w:rPr>
          <w:lang w:val="en-US" w:bidi="en-US"/>
        </w:rPr>
        <w:t>E</w:t>
      </w:r>
      <w:r w:rsidRPr="00413FEF">
        <w:rPr>
          <w:lang w:val="en-US" w:bidi="en-US"/>
        </w:rPr>
        <w:t xml:space="preserve">d.), </w:t>
      </w:r>
      <w:r w:rsidRPr="004756F6">
        <w:rPr>
          <w:i/>
          <w:lang w:val="en-US" w:bidi="en-US"/>
        </w:rPr>
        <w:t xml:space="preserve">Trust in </w:t>
      </w:r>
      <w:r w:rsidR="009306AF" w:rsidRPr="004756F6">
        <w:rPr>
          <w:i/>
          <w:lang w:val="en-US" w:bidi="en-US"/>
        </w:rPr>
        <w:t>e</w:t>
      </w:r>
      <w:r w:rsidRPr="004756F6">
        <w:rPr>
          <w:i/>
          <w:lang w:val="en-US" w:bidi="en-US"/>
        </w:rPr>
        <w:t>pistemology</w:t>
      </w:r>
      <w:r w:rsidR="009306AF" w:rsidRPr="009306AF">
        <w:rPr>
          <w:lang w:val="en-US" w:bidi="en-US"/>
        </w:rPr>
        <w:t xml:space="preserve"> </w:t>
      </w:r>
      <w:r w:rsidR="009306AF">
        <w:rPr>
          <w:lang w:val="en-US" w:bidi="en-US"/>
        </w:rPr>
        <w:t>(</w:t>
      </w:r>
      <w:r w:rsidR="009306AF" w:rsidRPr="00413FEF">
        <w:rPr>
          <w:lang w:val="en-US" w:bidi="en-US"/>
        </w:rPr>
        <w:t>pp. 161-188</w:t>
      </w:r>
      <w:r w:rsidR="009306AF">
        <w:rPr>
          <w:lang w:val="en-US" w:bidi="en-US"/>
        </w:rPr>
        <w:t>)</w:t>
      </w:r>
      <w:r w:rsidRPr="004756F6">
        <w:rPr>
          <w:i/>
          <w:lang w:val="en-US" w:bidi="en-US"/>
        </w:rPr>
        <w:t>.</w:t>
      </w:r>
      <w:r w:rsidRPr="00413FEF">
        <w:rPr>
          <w:lang w:val="en-US" w:bidi="en-US"/>
        </w:rPr>
        <w:t xml:space="preserve"> Routledge.</w:t>
      </w:r>
    </w:p>
    <w:p w14:paraId="2FF8FA3A" w14:textId="5C8EAC9A" w:rsidR="00887227" w:rsidRPr="00413FEF" w:rsidRDefault="00887227" w:rsidP="00947ED3">
      <w:pPr>
        <w:spacing w:line="360" w:lineRule="auto"/>
        <w:rPr>
          <w:lang w:val="en-US" w:bidi="en-US"/>
        </w:rPr>
      </w:pPr>
      <w:r w:rsidRPr="00413FEF">
        <w:rPr>
          <w:lang w:val="en-US" w:bidi="en-US"/>
        </w:rPr>
        <w:t xml:space="preserve">Grasswick, H. </w:t>
      </w:r>
      <w:r w:rsidR="007639E8" w:rsidRPr="00413FEF">
        <w:rPr>
          <w:lang w:val="en-US" w:bidi="en-US"/>
        </w:rPr>
        <w:t>(</w:t>
      </w:r>
      <w:r w:rsidRPr="00413FEF">
        <w:rPr>
          <w:lang w:val="en-US" w:bidi="en-US"/>
        </w:rPr>
        <w:t>2014</w:t>
      </w:r>
      <w:r w:rsidR="007639E8" w:rsidRPr="00413FEF">
        <w:rPr>
          <w:lang w:val="en-US" w:bidi="en-US"/>
        </w:rPr>
        <w:t>)</w:t>
      </w:r>
      <w:r w:rsidR="00A8369D">
        <w:rPr>
          <w:lang w:val="en-US" w:bidi="en-US"/>
        </w:rPr>
        <w:t>.</w:t>
      </w:r>
      <w:r w:rsidRPr="00413FEF">
        <w:rPr>
          <w:lang w:val="en-US" w:bidi="en-US"/>
        </w:rPr>
        <w:t xml:space="preserve"> Climate </w:t>
      </w:r>
      <w:r w:rsidR="00A8369D">
        <w:rPr>
          <w:lang w:val="en-US" w:bidi="en-US"/>
        </w:rPr>
        <w:t>c</w:t>
      </w:r>
      <w:r w:rsidRPr="00413FEF">
        <w:rPr>
          <w:lang w:val="en-US" w:bidi="en-US"/>
        </w:rPr>
        <w:t xml:space="preserve">hange </w:t>
      </w:r>
      <w:r w:rsidR="00A8369D">
        <w:rPr>
          <w:lang w:val="en-US" w:bidi="en-US"/>
        </w:rPr>
        <w:t>s</w:t>
      </w:r>
      <w:r w:rsidRPr="00413FEF">
        <w:rPr>
          <w:lang w:val="en-US" w:bidi="en-US"/>
        </w:rPr>
        <w:t xml:space="preserve">cience and </w:t>
      </w:r>
      <w:r w:rsidR="00A8369D">
        <w:rPr>
          <w:lang w:val="en-US" w:bidi="en-US"/>
        </w:rPr>
        <w:t>r</w:t>
      </w:r>
      <w:r w:rsidRPr="00413FEF">
        <w:rPr>
          <w:lang w:val="en-US" w:bidi="en-US"/>
        </w:rPr>
        <w:t xml:space="preserve">esponsible </w:t>
      </w:r>
      <w:r w:rsidR="00A8369D">
        <w:rPr>
          <w:lang w:val="en-US" w:bidi="en-US"/>
        </w:rPr>
        <w:t>t</w:t>
      </w:r>
      <w:r w:rsidRPr="00413FEF">
        <w:rPr>
          <w:lang w:val="en-US" w:bidi="en-US"/>
        </w:rPr>
        <w:t xml:space="preserve">rust: A </w:t>
      </w:r>
      <w:r w:rsidR="00A8369D">
        <w:rPr>
          <w:lang w:val="en-US" w:bidi="en-US"/>
        </w:rPr>
        <w:t>s</w:t>
      </w:r>
      <w:r w:rsidRPr="00413FEF">
        <w:rPr>
          <w:lang w:val="en-US" w:bidi="en-US"/>
        </w:rPr>
        <w:t xml:space="preserve">ituated </w:t>
      </w:r>
      <w:r w:rsidR="00A8369D">
        <w:rPr>
          <w:lang w:val="en-US" w:bidi="en-US"/>
        </w:rPr>
        <w:t>a</w:t>
      </w:r>
      <w:r w:rsidRPr="00413FEF">
        <w:rPr>
          <w:lang w:val="en-US" w:bidi="en-US"/>
        </w:rPr>
        <w:t xml:space="preserve">pproach. </w:t>
      </w:r>
      <w:r w:rsidRPr="004756F6">
        <w:rPr>
          <w:i/>
          <w:lang w:val="en-US" w:bidi="en-US"/>
        </w:rPr>
        <w:t>Hypatia 29</w:t>
      </w:r>
      <w:r w:rsidRPr="00413FEF">
        <w:rPr>
          <w:lang w:val="en-US" w:bidi="en-US"/>
        </w:rPr>
        <w:t>(3)</w:t>
      </w:r>
      <w:r w:rsidR="00A8369D">
        <w:rPr>
          <w:lang w:val="en-US" w:bidi="en-US"/>
        </w:rPr>
        <w:t>,</w:t>
      </w:r>
      <w:r w:rsidRPr="00413FEF">
        <w:rPr>
          <w:lang w:val="en-US" w:bidi="en-US"/>
        </w:rPr>
        <w:t xml:space="preserve"> 541–57. https://doi.org/10.1111/hypa.12090</w:t>
      </w:r>
    </w:p>
    <w:p w14:paraId="28F854A5" w14:textId="34281AD6" w:rsidR="00887227" w:rsidRPr="00413FEF" w:rsidRDefault="00887227" w:rsidP="00947ED3">
      <w:pPr>
        <w:spacing w:line="360" w:lineRule="auto"/>
        <w:rPr>
          <w:lang w:val="en-US" w:bidi="en-US"/>
        </w:rPr>
      </w:pPr>
      <w:r w:rsidRPr="00413FEF">
        <w:rPr>
          <w:lang w:val="en-US" w:bidi="en-US"/>
        </w:rPr>
        <w:t xml:space="preserve">Habermas, </w:t>
      </w:r>
      <w:proofErr w:type="gramStart"/>
      <w:r w:rsidRPr="00413FEF">
        <w:rPr>
          <w:lang w:val="en-US" w:bidi="en-US"/>
        </w:rPr>
        <w:t>J</w:t>
      </w:r>
      <w:r w:rsidR="00B70BB3">
        <w:rPr>
          <w:lang w:val="en-US" w:bidi="en-US"/>
        </w:rPr>
        <w:t>.</w:t>
      </w:r>
      <w:r w:rsidRPr="00413FEF">
        <w:rPr>
          <w:lang w:val="en-US" w:bidi="en-US"/>
        </w:rPr>
        <w:t>.</w:t>
      </w:r>
      <w:proofErr w:type="gramEnd"/>
      <w:r w:rsidRPr="00413FEF">
        <w:rPr>
          <w:lang w:val="en-US" w:bidi="en-US"/>
        </w:rPr>
        <w:t xml:space="preserve"> (1985)</w:t>
      </w:r>
      <w:r w:rsidR="00B70BB3">
        <w:rPr>
          <w:lang w:val="en-US" w:bidi="en-US"/>
        </w:rPr>
        <w:t>.</w:t>
      </w:r>
      <w:r w:rsidRPr="00413FEF">
        <w:rPr>
          <w:lang w:val="en-US" w:bidi="en-US"/>
        </w:rPr>
        <w:t xml:space="preserve"> </w:t>
      </w:r>
      <w:r w:rsidRPr="004756F6">
        <w:rPr>
          <w:i/>
          <w:lang w:val="en-US" w:bidi="en-US"/>
        </w:rPr>
        <w:t xml:space="preserve">The </w:t>
      </w:r>
      <w:r w:rsidR="00B70BB3" w:rsidRPr="004756F6">
        <w:rPr>
          <w:i/>
          <w:lang w:val="en-US" w:bidi="en-US"/>
        </w:rPr>
        <w:t>t</w:t>
      </w:r>
      <w:r w:rsidRPr="004756F6">
        <w:rPr>
          <w:i/>
          <w:lang w:val="en-US" w:bidi="en-US"/>
        </w:rPr>
        <w:t xml:space="preserve">heory of </w:t>
      </w:r>
      <w:r w:rsidR="00B70BB3" w:rsidRPr="004756F6">
        <w:rPr>
          <w:i/>
          <w:lang w:val="en-US" w:bidi="en-US"/>
        </w:rPr>
        <w:t>c</w:t>
      </w:r>
      <w:r w:rsidRPr="004756F6">
        <w:rPr>
          <w:i/>
          <w:lang w:val="en-US" w:bidi="en-US"/>
        </w:rPr>
        <w:t xml:space="preserve">ommunicative </w:t>
      </w:r>
      <w:r w:rsidR="00B70BB3" w:rsidRPr="004756F6">
        <w:rPr>
          <w:i/>
          <w:lang w:val="en-US" w:bidi="en-US"/>
        </w:rPr>
        <w:t>a</w:t>
      </w:r>
      <w:r w:rsidRPr="004756F6">
        <w:rPr>
          <w:i/>
          <w:lang w:val="en-US" w:bidi="en-US"/>
        </w:rPr>
        <w:t xml:space="preserve">ction, Volume 1: Reason and the </w:t>
      </w:r>
      <w:r w:rsidR="00B70BB3">
        <w:rPr>
          <w:i/>
          <w:lang w:val="en-US" w:bidi="en-US"/>
        </w:rPr>
        <w:t>r</w:t>
      </w:r>
      <w:r w:rsidRPr="004756F6">
        <w:rPr>
          <w:i/>
          <w:lang w:val="en-US" w:bidi="en-US"/>
        </w:rPr>
        <w:t xml:space="preserve">ationalization of </w:t>
      </w:r>
      <w:r w:rsidR="00B70BB3">
        <w:rPr>
          <w:i/>
          <w:lang w:val="en-US" w:bidi="en-US"/>
        </w:rPr>
        <w:t>s</w:t>
      </w:r>
      <w:r w:rsidRPr="004756F6">
        <w:rPr>
          <w:i/>
          <w:lang w:val="en-US" w:bidi="en-US"/>
        </w:rPr>
        <w:t>ociety</w:t>
      </w:r>
      <w:r w:rsidR="00A90E5C">
        <w:rPr>
          <w:i/>
          <w:lang w:val="en-US" w:bidi="en-US"/>
        </w:rPr>
        <w:t xml:space="preserve"> </w:t>
      </w:r>
      <w:r w:rsidR="00A90E5C" w:rsidRPr="004756F6">
        <w:rPr>
          <w:lang w:val="en-US" w:bidi="en-US"/>
        </w:rPr>
        <w:t>(</w:t>
      </w:r>
      <w:r w:rsidRPr="00413FEF">
        <w:rPr>
          <w:lang w:val="en-US" w:bidi="en-US"/>
        </w:rPr>
        <w:t>T</w:t>
      </w:r>
      <w:r w:rsidR="00A90E5C">
        <w:rPr>
          <w:lang w:val="en-US" w:bidi="en-US"/>
        </w:rPr>
        <w:t>.</w:t>
      </w:r>
      <w:r w:rsidRPr="00413FEF">
        <w:rPr>
          <w:lang w:val="en-US" w:bidi="en-US"/>
        </w:rPr>
        <w:t xml:space="preserve"> McCarthy</w:t>
      </w:r>
      <w:r w:rsidR="00A90E5C">
        <w:rPr>
          <w:lang w:val="en-US" w:bidi="en-US"/>
        </w:rPr>
        <w:t>, Trans</w:t>
      </w:r>
      <w:r w:rsidRPr="00413FEF">
        <w:rPr>
          <w:lang w:val="en-US" w:bidi="en-US"/>
        </w:rPr>
        <w:t>.</w:t>
      </w:r>
      <w:r w:rsidR="00A90E5C">
        <w:rPr>
          <w:lang w:val="en-US" w:bidi="en-US"/>
        </w:rPr>
        <w:t>)</w:t>
      </w:r>
      <w:r w:rsidR="00FE58EA">
        <w:rPr>
          <w:lang w:val="en-US" w:bidi="en-US"/>
        </w:rPr>
        <w:t>.</w:t>
      </w:r>
    </w:p>
    <w:p w14:paraId="59D41801" w14:textId="1686DDD7" w:rsidR="00887227" w:rsidRPr="00413FEF" w:rsidRDefault="00887227" w:rsidP="00947ED3">
      <w:pPr>
        <w:spacing w:line="360" w:lineRule="auto"/>
        <w:rPr>
          <w:lang w:val="en-US" w:bidi="en-US"/>
        </w:rPr>
      </w:pPr>
      <w:r w:rsidRPr="00413FEF">
        <w:rPr>
          <w:lang w:val="en-US" w:bidi="en-US"/>
        </w:rPr>
        <w:t>Hall, D. (2019)</w:t>
      </w:r>
      <w:r w:rsidR="00A90E5C">
        <w:rPr>
          <w:lang w:val="en-US" w:bidi="en-US"/>
        </w:rPr>
        <w:t>.</w:t>
      </w:r>
      <w:r w:rsidRPr="00413FEF">
        <w:rPr>
          <w:lang w:val="en-US" w:bidi="en-US"/>
        </w:rPr>
        <w:t xml:space="preserve"> Internal </w:t>
      </w:r>
      <w:r w:rsidR="00A90E5C">
        <w:rPr>
          <w:lang w:val="en-US" w:bidi="en-US"/>
        </w:rPr>
        <w:t>r</w:t>
      </w:r>
      <w:r w:rsidRPr="00413FEF">
        <w:rPr>
          <w:lang w:val="en-US" w:bidi="en-US"/>
        </w:rPr>
        <w:t xml:space="preserve">easons and the </w:t>
      </w:r>
      <w:r w:rsidR="00A90E5C">
        <w:rPr>
          <w:lang w:val="en-US" w:bidi="en-US"/>
        </w:rPr>
        <w:t>p</w:t>
      </w:r>
      <w:r w:rsidRPr="00413FEF">
        <w:rPr>
          <w:lang w:val="en-US" w:bidi="en-US"/>
        </w:rPr>
        <w:t xml:space="preserve">roblem of </w:t>
      </w:r>
      <w:r w:rsidR="00A90E5C">
        <w:rPr>
          <w:lang w:val="en-US" w:bidi="en-US"/>
        </w:rPr>
        <w:t>c</w:t>
      </w:r>
      <w:r w:rsidRPr="00413FEF">
        <w:rPr>
          <w:lang w:val="en-US" w:bidi="en-US"/>
        </w:rPr>
        <w:t xml:space="preserve">limate </w:t>
      </w:r>
      <w:r w:rsidR="00A90E5C">
        <w:rPr>
          <w:lang w:val="en-US" w:bidi="en-US"/>
        </w:rPr>
        <w:t>c</w:t>
      </w:r>
      <w:r w:rsidRPr="00413FEF">
        <w:rPr>
          <w:lang w:val="en-US" w:bidi="en-US"/>
        </w:rPr>
        <w:t xml:space="preserve">hange. </w:t>
      </w:r>
      <w:r w:rsidRPr="004756F6">
        <w:rPr>
          <w:i/>
          <w:lang w:val="en-US" w:bidi="en-US"/>
        </w:rPr>
        <w:t>Theoria</w:t>
      </w:r>
      <w:r w:rsidR="000E01EC">
        <w:rPr>
          <w:lang w:val="en-US" w:bidi="en-US"/>
        </w:rPr>
        <w:t>,</w:t>
      </w:r>
      <w:r w:rsidRPr="00413FEF">
        <w:rPr>
          <w:lang w:val="en-US" w:bidi="en-US"/>
        </w:rPr>
        <w:t xml:space="preserve"> </w:t>
      </w:r>
      <w:r w:rsidRPr="004756F6">
        <w:rPr>
          <w:i/>
          <w:lang w:val="en-US" w:bidi="en-US"/>
        </w:rPr>
        <w:t>66</w:t>
      </w:r>
      <w:r w:rsidRPr="00413FEF">
        <w:rPr>
          <w:lang w:val="en-US" w:bidi="en-US"/>
        </w:rPr>
        <w:t xml:space="preserve">(160). </w:t>
      </w:r>
      <w:proofErr w:type="gramStart"/>
      <w:r w:rsidRPr="00413FEF">
        <w:rPr>
          <w:lang w:val="en-US" w:bidi="en-US"/>
        </w:rPr>
        <w:t>https://doi.org/10.3167/th.2019.6616003..</w:t>
      </w:r>
      <w:proofErr w:type="gramEnd"/>
    </w:p>
    <w:p w14:paraId="38A9C4F1" w14:textId="659B7407" w:rsidR="00887227" w:rsidRPr="00413FEF" w:rsidRDefault="00887227" w:rsidP="00947ED3">
      <w:pPr>
        <w:spacing w:line="360" w:lineRule="auto"/>
        <w:rPr>
          <w:lang w:val="en-US" w:bidi="en-US"/>
        </w:rPr>
      </w:pPr>
      <w:r w:rsidRPr="00413FEF">
        <w:rPr>
          <w:lang w:val="en-US" w:bidi="en-US"/>
        </w:rPr>
        <w:t>Hardin, R. (1993)</w:t>
      </w:r>
      <w:r w:rsidR="000E01EC">
        <w:rPr>
          <w:lang w:val="en-US" w:bidi="en-US"/>
        </w:rPr>
        <w:t>.</w:t>
      </w:r>
      <w:r w:rsidRPr="00413FEF">
        <w:rPr>
          <w:lang w:val="en-US" w:bidi="en-US"/>
        </w:rPr>
        <w:t xml:space="preserve"> The </w:t>
      </w:r>
      <w:r w:rsidR="000E01EC">
        <w:rPr>
          <w:lang w:val="en-US" w:bidi="en-US"/>
        </w:rPr>
        <w:t>s</w:t>
      </w:r>
      <w:r w:rsidRPr="00413FEF">
        <w:rPr>
          <w:lang w:val="en-US" w:bidi="en-US"/>
        </w:rPr>
        <w:t>treet-</w:t>
      </w:r>
      <w:r w:rsidR="000E01EC">
        <w:rPr>
          <w:lang w:val="en-US" w:bidi="en-US"/>
        </w:rPr>
        <w:t>l</w:t>
      </w:r>
      <w:r w:rsidRPr="00413FEF">
        <w:rPr>
          <w:lang w:val="en-US" w:bidi="en-US"/>
        </w:rPr>
        <w:t xml:space="preserve">evel </w:t>
      </w:r>
      <w:r w:rsidR="000E01EC">
        <w:rPr>
          <w:lang w:val="en-US" w:bidi="en-US"/>
        </w:rPr>
        <w:t>e</w:t>
      </w:r>
      <w:r w:rsidRPr="00413FEF">
        <w:rPr>
          <w:lang w:val="en-US" w:bidi="en-US"/>
        </w:rPr>
        <w:t xml:space="preserve">pistemology of </w:t>
      </w:r>
      <w:r w:rsidR="000E01EC">
        <w:rPr>
          <w:lang w:val="en-US" w:bidi="en-US"/>
        </w:rPr>
        <w:t>t</w:t>
      </w:r>
      <w:r w:rsidRPr="00413FEF">
        <w:rPr>
          <w:lang w:val="en-US" w:bidi="en-US"/>
        </w:rPr>
        <w:t xml:space="preserve">rust. </w:t>
      </w:r>
      <w:r w:rsidRPr="004756F6">
        <w:rPr>
          <w:i/>
          <w:lang w:val="en-US" w:bidi="en-US"/>
        </w:rPr>
        <w:t>Politics and Society</w:t>
      </w:r>
      <w:r w:rsidRPr="00413FEF">
        <w:rPr>
          <w:lang w:val="en-US" w:bidi="en-US"/>
        </w:rPr>
        <w:t xml:space="preserve">, </w:t>
      </w:r>
      <w:r w:rsidRPr="004756F6">
        <w:rPr>
          <w:i/>
          <w:lang w:val="en-US" w:bidi="en-US"/>
        </w:rPr>
        <w:t>21</w:t>
      </w:r>
      <w:r w:rsidRPr="00413FEF">
        <w:rPr>
          <w:lang w:val="en-US" w:bidi="en-US"/>
        </w:rPr>
        <w:t>(4), 505-529.</w:t>
      </w:r>
    </w:p>
    <w:p w14:paraId="63F51E93" w14:textId="1B119455" w:rsidR="00887227" w:rsidRPr="00413FEF" w:rsidRDefault="00887227" w:rsidP="00947ED3">
      <w:pPr>
        <w:spacing w:line="360" w:lineRule="auto"/>
        <w:rPr>
          <w:lang w:val="en-GB" w:bidi="en-US"/>
        </w:rPr>
      </w:pPr>
      <w:r w:rsidRPr="00413FEF">
        <w:rPr>
          <w:lang w:val="en-GB" w:bidi="en-US"/>
        </w:rPr>
        <w:t>Hardin, R. (2002)</w:t>
      </w:r>
      <w:r w:rsidR="00C63F09">
        <w:rPr>
          <w:lang w:val="en-GB" w:bidi="en-US"/>
        </w:rPr>
        <w:t>.</w:t>
      </w:r>
      <w:r w:rsidRPr="00413FEF">
        <w:rPr>
          <w:lang w:val="en-GB" w:bidi="en-US"/>
        </w:rPr>
        <w:t> </w:t>
      </w:r>
      <w:r w:rsidRPr="00413FEF">
        <w:rPr>
          <w:i/>
          <w:iCs/>
          <w:lang w:val="en-GB" w:bidi="en-US"/>
        </w:rPr>
        <w:t xml:space="preserve">Trust and </w:t>
      </w:r>
      <w:r w:rsidR="00C63F09">
        <w:rPr>
          <w:i/>
          <w:iCs/>
          <w:lang w:val="en-GB" w:bidi="en-US"/>
        </w:rPr>
        <w:t>t</w:t>
      </w:r>
      <w:r w:rsidRPr="00413FEF">
        <w:rPr>
          <w:i/>
          <w:iCs/>
          <w:lang w:val="en-GB" w:bidi="en-US"/>
        </w:rPr>
        <w:t>rustworthiness</w:t>
      </w:r>
      <w:r w:rsidRPr="00413FEF">
        <w:rPr>
          <w:lang w:val="en-GB" w:bidi="en-US"/>
        </w:rPr>
        <w:t>. Russell Sage Foundation.</w:t>
      </w:r>
    </w:p>
    <w:p w14:paraId="4DA2E31D" w14:textId="130D5868" w:rsidR="00887227" w:rsidRPr="00413FEF" w:rsidRDefault="00887227" w:rsidP="00947ED3">
      <w:pPr>
        <w:spacing w:line="360" w:lineRule="auto"/>
        <w:rPr>
          <w:lang w:val="en-GB" w:bidi="en-US"/>
        </w:rPr>
      </w:pPr>
      <w:r w:rsidRPr="00413FEF">
        <w:rPr>
          <w:lang w:val="en-GB" w:bidi="en-US"/>
        </w:rPr>
        <w:t>Harding, M</w:t>
      </w:r>
      <w:r w:rsidR="00C63F09">
        <w:rPr>
          <w:lang w:val="en-GB" w:bidi="en-US"/>
        </w:rPr>
        <w:t>.</w:t>
      </w:r>
      <w:r w:rsidRPr="00413FEF">
        <w:rPr>
          <w:lang w:val="en-GB" w:bidi="en-US"/>
        </w:rPr>
        <w:t xml:space="preserve"> (2011)</w:t>
      </w:r>
      <w:r w:rsidR="00C63F09">
        <w:rPr>
          <w:lang w:val="en-GB" w:bidi="en-US"/>
        </w:rPr>
        <w:t>.</w:t>
      </w:r>
      <w:r w:rsidRPr="00413FEF">
        <w:rPr>
          <w:lang w:val="en-GB" w:bidi="en-US"/>
        </w:rPr>
        <w:t xml:space="preserve"> Responding to </w:t>
      </w:r>
      <w:r w:rsidR="004F35CF">
        <w:rPr>
          <w:lang w:val="en-GB" w:bidi="en-US"/>
        </w:rPr>
        <w:t>t</w:t>
      </w:r>
      <w:r w:rsidRPr="00413FEF">
        <w:rPr>
          <w:lang w:val="en-GB" w:bidi="en-US"/>
        </w:rPr>
        <w:t xml:space="preserve">rust: Responding to </w:t>
      </w:r>
      <w:r w:rsidR="004F35CF">
        <w:rPr>
          <w:lang w:val="en-GB" w:bidi="en-US"/>
        </w:rPr>
        <w:t>t</w:t>
      </w:r>
      <w:r w:rsidRPr="00413FEF">
        <w:rPr>
          <w:lang w:val="en-GB" w:bidi="en-US"/>
        </w:rPr>
        <w:t>rust. </w:t>
      </w:r>
      <w:r w:rsidRPr="004756F6">
        <w:rPr>
          <w:i/>
          <w:lang w:val="en-GB" w:bidi="en-US"/>
        </w:rPr>
        <w:t>Ratio Juris</w:t>
      </w:r>
      <w:r w:rsidRPr="00413FEF">
        <w:rPr>
          <w:lang w:val="en-GB" w:bidi="en-US"/>
        </w:rPr>
        <w:t xml:space="preserve">, </w:t>
      </w:r>
      <w:r w:rsidRPr="004756F6">
        <w:rPr>
          <w:i/>
          <w:lang w:val="en-GB" w:bidi="en-US"/>
        </w:rPr>
        <w:t>24</w:t>
      </w:r>
      <w:r w:rsidRPr="00413FEF">
        <w:rPr>
          <w:lang w:val="en-GB" w:bidi="en-US"/>
        </w:rPr>
        <w:t>(1)</w:t>
      </w:r>
      <w:r w:rsidR="004F35CF">
        <w:rPr>
          <w:lang w:val="en-GB" w:bidi="en-US"/>
        </w:rPr>
        <w:t>,</w:t>
      </w:r>
      <w:r w:rsidRPr="00413FEF">
        <w:rPr>
          <w:lang w:val="en-GB" w:bidi="en-US"/>
        </w:rPr>
        <w:t xml:space="preserve"> 75–87. </w:t>
      </w:r>
    </w:p>
    <w:p w14:paraId="7CEFB715" w14:textId="45799FA2" w:rsidR="00887227" w:rsidRPr="00413FEF" w:rsidRDefault="00887227" w:rsidP="00B6237B">
      <w:pPr>
        <w:spacing w:line="360" w:lineRule="auto"/>
        <w:rPr>
          <w:lang w:val="en-US" w:bidi="en-US"/>
        </w:rPr>
      </w:pPr>
      <w:r w:rsidRPr="00413FEF">
        <w:rPr>
          <w:lang w:val="en-US" w:bidi="en-US"/>
        </w:rPr>
        <w:t>Hardwig, J. (1985)</w:t>
      </w:r>
      <w:r w:rsidR="004F35CF">
        <w:rPr>
          <w:lang w:val="en-US" w:bidi="en-US"/>
        </w:rPr>
        <w:t>.</w:t>
      </w:r>
      <w:r w:rsidRPr="00413FEF">
        <w:rPr>
          <w:lang w:val="en-US" w:bidi="en-US"/>
        </w:rPr>
        <w:t xml:space="preserve"> Epistemic </w:t>
      </w:r>
      <w:r w:rsidR="004F35CF">
        <w:rPr>
          <w:lang w:val="en-US" w:bidi="en-US"/>
        </w:rPr>
        <w:t>d</w:t>
      </w:r>
      <w:r w:rsidRPr="00413FEF">
        <w:rPr>
          <w:lang w:val="en-US" w:bidi="en-US"/>
        </w:rPr>
        <w:t xml:space="preserve">ependence. </w:t>
      </w:r>
      <w:r w:rsidRPr="004756F6">
        <w:rPr>
          <w:i/>
          <w:lang w:val="en-US" w:bidi="en-US"/>
        </w:rPr>
        <w:t>The Journal of Philosophy</w:t>
      </w:r>
      <w:r w:rsidR="004F35CF">
        <w:rPr>
          <w:lang w:val="en-US" w:bidi="en-US"/>
        </w:rPr>
        <w:t>,</w:t>
      </w:r>
      <w:r w:rsidRPr="00413FEF">
        <w:rPr>
          <w:lang w:val="en-US" w:bidi="en-US"/>
        </w:rPr>
        <w:t xml:space="preserve"> </w:t>
      </w:r>
      <w:r w:rsidRPr="004756F6">
        <w:rPr>
          <w:i/>
          <w:lang w:val="en-US" w:bidi="en-US"/>
        </w:rPr>
        <w:t>82</w:t>
      </w:r>
      <w:r w:rsidR="004F35CF">
        <w:rPr>
          <w:lang w:val="en-US" w:bidi="en-US"/>
        </w:rPr>
        <w:t>(7)</w:t>
      </w:r>
      <w:r w:rsidRPr="00413FEF">
        <w:rPr>
          <w:lang w:val="en-US" w:bidi="en-US"/>
        </w:rPr>
        <w:t xml:space="preserve">, pp. 335-349. </w:t>
      </w:r>
    </w:p>
    <w:p w14:paraId="11456501" w14:textId="3B32BABE" w:rsidR="007639E8" w:rsidRPr="00413FEF" w:rsidRDefault="00887227" w:rsidP="00887227">
      <w:pPr>
        <w:spacing w:line="360" w:lineRule="auto"/>
        <w:rPr>
          <w:lang w:val="en-US"/>
        </w:rPr>
      </w:pPr>
      <w:r w:rsidRPr="00413FEF">
        <w:rPr>
          <w:lang w:val="en-US" w:bidi="en-US"/>
        </w:rPr>
        <w:t>Hardwig, J. (1991)</w:t>
      </w:r>
      <w:r w:rsidR="00EF2C41">
        <w:rPr>
          <w:lang w:val="en-US" w:bidi="en-US"/>
        </w:rPr>
        <w:t xml:space="preserve">. </w:t>
      </w:r>
      <w:r w:rsidRPr="00413FEF">
        <w:rPr>
          <w:lang w:val="en-US" w:bidi="en-US"/>
        </w:rPr>
        <w:t xml:space="preserve">The </w:t>
      </w:r>
      <w:r w:rsidR="00EF2C41">
        <w:rPr>
          <w:lang w:val="en-US" w:bidi="en-US"/>
        </w:rPr>
        <w:t>r</w:t>
      </w:r>
      <w:r w:rsidRPr="00413FEF">
        <w:rPr>
          <w:lang w:val="en-US" w:bidi="en-US"/>
        </w:rPr>
        <w:t xml:space="preserve">ole of </w:t>
      </w:r>
      <w:r w:rsidR="00EF2C41">
        <w:rPr>
          <w:lang w:val="en-US" w:bidi="en-US"/>
        </w:rPr>
        <w:t>t</w:t>
      </w:r>
      <w:r w:rsidRPr="00413FEF">
        <w:rPr>
          <w:lang w:val="en-US" w:bidi="en-US"/>
        </w:rPr>
        <w:t xml:space="preserve">rust in </w:t>
      </w:r>
      <w:r w:rsidR="00EF2C41">
        <w:rPr>
          <w:lang w:val="en-US" w:bidi="en-US"/>
        </w:rPr>
        <w:t>k</w:t>
      </w:r>
      <w:r w:rsidRPr="00413FEF">
        <w:rPr>
          <w:lang w:val="en-US" w:bidi="en-US"/>
        </w:rPr>
        <w:t xml:space="preserve">nowledge. </w:t>
      </w:r>
      <w:r w:rsidR="00EF2C41" w:rsidRPr="004756F6">
        <w:rPr>
          <w:i/>
          <w:lang w:val="en-US" w:bidi="en-US"/>
        </w:rPr>
        <w:t xml:space="preserve">The </w:t>
      </w:r>
      <w:r w:rsidRPr="004756F6">
        <w:rPr>
          <w:i/>
          <w:lang w:val="en-US" w:bidi="en-US"/>
        </w:rPr>
        <w:t>Journal of Philosophy</w:t>
      </w:r>
      <w:r w:rsidRPr="00413FEF">
        <w:rPr>
          <w:lang w:val="en-US" w:bidi="en-US"/>
        </w:rPr>
        <w:t xml:space="preserve">, </w:t>
      </w:r>
      <w:r w:rsidRPr="004756F6">
        <w:rPr>
          <w:i/>
          <w:lang w:val="en-US" w:bidi="en-US"/>
        </w:rPr>
        <w:t>88</w:t>
      </w:r>
      <w:r w:rsidRPr="00413FEF">
        <w:rPr>
          <w:lang w:val="en-US" w:bidi="en-US"/>
        </w:rPr>
        <w:t>(12), 693-708</w:t>
      </w:r>
      <w:r w:rsidR="00ED4B89" w:rsidRPr="00413FEF">
        <w:rPr>
          <w:lang w:val="en-US"/>
        </w:rPr>
        <w:t>.</w:t>
      </w:r>
    </w:p>
    <w:p w14:paraId="1463947E" w14:textId="4BBDAFB8" w:rsidR="00887227" w:rsidRPr="00413FEF" w:rsidRDefault="00887227" w:rsidP="00947ED3">
      <w:pPr>
        <w:spacing w:line="360" w:lineRule="auto"/>
        <w:rPr>
          <w:lang w:val="en-US" w:bidi="en-US"/>
        </w:rPr>
      </w:pPr>
      <w:r w:rsidRPr="00413FEF">
        <w:rPr>
          <w:lang w:val="en-US" w:bidi="en-US"/>
        </w:rPr>
        <w:t>Hawley, K. (2017)</w:t>
      </w:r>
      <w:r w:rsidR="00457B22">
        <w:rPr>
          <w:lang w:val="en-US" w:bidi="en-US"/>
        </w:rPr>
        <w:t>.</w:t>
      </w:r>
      <w:r w:rsidRPr="00413FEF">
        <w:rPr>
          <w:lang w:val="en-US" w:bidi="en-US"/>
        </w:rPr>
        <w:t xml:space="preserve"> Trustworthy groups and </w:t>
      </w:r>
      <w:proofErr w:type="spellStart"/>
      <w:r w:rsidRPr="00413FEF">
        <w:rPr>
          <w:lang w:val="en-US" w:bidi="en-US"/>
        </w:rPr>
        <w:t>organisations</w:t>
      </w:r>
      <w:proofErr w:type="spellEnd"/>
      <w:r w:rsidRPr="00413FEF">
        <w:rPr>
          <w:lang w:val="en-US" w:bidi="en-US"/>
        </w:rPr>
        <w:t>. In P. Faulkner &amp; T. Simpson (</w:t>
      </w:r>
      <w:r w:rsidR="00457B22">
        <w:rPr>
          <w:lang w:val="en-US" w:bidi="en-US"/>
        </w:rPr>
        <w:t>E</w:t>
      </w:r>
      <w:r w:rsidRPr="00413FEF">
        <w:rPr>
          <w:lang w:val="en-US" w:bidi="en-US"/>
        </w:rPr>
        <w:t>ds.)</w:t>
      </w:r>
      <w:r w:rsidR="00457B22">
        <w:rPr>
          <w:lang w:val="en-US" w:bidi="en-US"/>
        </w:rPr>
        <w:t>.</w:t>
      </w:r>
      <w:r w:rsidRPr="00413FEF">
        <w:rPr>
          <w:lang w:val="en-US" w:bidi="en-US"/>
        </w:rPr>
        <w:t xml:space="preserve"> </w:t>
      </w:r>
      <w:r w:rsidRPr="004756F6">
        <w:rPr>
          <w:i/>
          <w:lang w:val="en-US" w:bidi="en-US"/>
        </w:rPr>
        <w:t xml:space="preserve">The </w:t>
      </w:r>
      <w:r w:rsidR="00457B22" w:rsidRPr="004756F6">
        <w:rPr>
          <w:i/>
          <w:lang w:val="en-US" w:bidi="en-US"/>
        </w:rPr>
        <w:t>p</w:t>
      </w:r>
      <w:r w:rsidRPr="004756F6">
        <w:rPr>
          <w:i/>
          <w:lang w:val="en-US" w:bidi="en-US"/>
        </w:rPr>
        <w:t xml:space="preserve">hilosophy of </w:t>
      </w:r>
      <w:r w:rsidR="00457B22" w:rsidRPr="004756F6">
        <w:rPr>
          <w:i/>
          <w:lang w:val="en-US" w:bidi="en-US"/>
        </w:rPr>
        <w:t>t</w:t>
      </w:r>
      <w:r w:rsidRPr="004756F6">
        <w:rPr>
          <w:i/>
          <w:lang w:val="en-US" w:bidi="en-US"/>
        </w:rPr>
        <w:t>rust</w:t>
      </w:r>
      <w:r w:rsidRPr="00413FEF">
        <w:rPr>
          <w:lang w:val="en-US" w:bidi="en-US"/>
        </w:rPr>
        <w:t>. Oxford University Press.</w:t>
      </w:r>
    </w:p>
    <w:p w14:paraId="4B446709" w14:textId="78D76B5D" w:rsidR="00887227" w:rsidRPr="00413FEF" w:rsidRDefault="00887227" w:rsidP="00947ED3">
      <w:pPr>
        <w:spacing w:line="360" w:lineRule="auto"/>
        <w:rPr>
          <w:lang w:val="en-US" w:bidi="en-US"/>
        </w:rPr>
      </w:pPr>
      <w:r w:rsidRPr="00413FEF">
        <w:rPr>
          <w:lang w:val="en-US" w:bidi="en-US"/>
        </w:rPr>
        <w:t>Hawley, K. (2019)</w:t>
      </w:r>
      <w:r w:rsidR="008D4DF6">
        <w:rPr>
          <w:lang w:val="en-US" w:bidi="en-US"/>
        </w:rPr>
        <w:t>.</w:t>
      </w:r>
      <w:r w:rsidRPr="00413FEF">
        <w:rPr>
          <w:lang w:val="en-US" w:bidi="en-US"/>
        </w:rPr>
        <w:t xml:space="preserve"> </w:t>
      </w:r>
      <w:r w:rsidRPr="004756F6">
        <w:rPr>
          <w:i/>
          <w:lang w:val="en-US" w:bidi="en-US"/>
        </w:rPr>
        <w:t xml:space="preserve">How to </w:t>
      </w:r>
      <w:r w:rsidR="008D4DF6" w:rsidRPr="004756F6">
        <w:rPr>
          <w:i/>
          <w:lang w:val="en-US" w:bidi="en-US"/>
        </w:rPr>
        <w:t>b</w:t>
      </w:r>
      <w:r w:rsidRPr="004756F6">
        <w:rPr>
          <w:i/>
          <w:lang w:val="en-US" w:bidi="en-US"/>
        </w:rPr>
        <w:t xml:space="preserve">e </w:t>
      </w:r>
      <w:r w:rsidR="008D4DF6" w:rsidRPr="004756F6">
        <w:rPr>
          <w:i/>
          <w:lang w:val="en-US" w:bidi="en-US"/>
        </w:rPr>
        <w:t>t</w:t>
      </w:r>
      <w:r w:rsidRPr="004756F6">
        <w:rPr>
          <w:i/>
          <w:lang w:val="en-US" w:bidi="en-US"/>
        </w:rPr>
        <w:t>rustworthy</w:t>
      </w:r>
      <w:r w:rsidRPr="00413FEF">
        <w:rPr>
          <w:lang w:val="en-US" w:bidi="en-US"/>
        </w:rPr>
        <w:t>. Oxford University Press.</w:t>
      </w:r>
    </w:p>
    <w:p w14:paraId="7DBEFC01" w14:textId="752F1C7D" w:rsidR="00887227" w:rsidRPr="00413FEF" w:rsidRDefault="00887227" w:rsidP="00947ED3">
      <w:pPr>
        <w:spacing w:line="360" w:lineRule="auto"/>
        <w:rPr>
          <w:lang w:val="en-US" w:bidi="en-US"/>
        </w:rPr>
      </w:pPr>
      <w:r w:rsidRPr="00413FEF">
        <w:rPr>
          <w:lang w:val="en-US" w:bidi="en-US"/>
        </w:rPr>
        <w:t>Hempel, C</w:t>
      </w:r>
      <w:r w:rsidR="00F92E85">
        <w:rPr>
          <w:lang w:val="en-US" w:bidi="en-US"/>
        </w:rPr>
        <w:t>.</w:t>
      </w:r>
      <w:r w:rsidRPr="00413FEF">
        <w:rPr>
          <w:lang w:val="en-US" w:bidi="en-US"/>
        </w:rPr>
        <w:t xml:space="preserve"> G. (1965)</w:t>
      </w:r>
      <w:r w:rsidR="00F92E85">
        <w:rPr>
          <w:lang w:val="en-US" w:bidi="en-US"/>
        </w:rPr>
        <w:t>.</w:t>
      </w:r>
      <w:r w:rsidRPr="00413FEF">
        <w:rPr>
          <w:lang w:val="en-US" w:bidi="en-US"/>
        </w:rPr>
        <w:t xml:space="preserve"> Science and Human Values. In </w:t>
      </w:r>
      <w:r w:rsidRPr="004756F6">
        <w:rPr>
          <w:i/>
          <w:lang w:val="en-US" w:bidi="en-US"/>
        </w:rPr>
        <w:t xml:space="preserve">Aspects of </w:t>
      </w:r>
      <w:r w:rsidR="00F92E85">
        <w:rPr>
          <w:i/>
          <w:lang w:val="en-US" w:bidi="en-US"/>
        </w:rPr>
        <w:t>s</w:t>
      </w:r>
      <w:r w:rsidRPr="004756F6">
        <w:rPr>
          <w:i/>
          <w:lang w:val="en-US" w:bidi="en-US"/>
        </w:rPr>
        <w:t xml:space="preserve">cientific </w:t>
      </w:r>
      <w:r w:rsidR="00F92E85">
        <w:rPr>
          <w:i/>
          <w:lang w:val="en-US" w:bidi="en-US"/>
        </w:rPr>
        <w:t>e</w:t>
      </w:r>
      <w:r w:rsidRPr="004756F6">
        <w:rPr>
          <w:i/>
          <w:lang w:val="en-US" w:bidi="en-US"/>
        </w:rPr>
        <w:t xml:space="preserve">xplanation and </w:t>
      </w:r>
      <w:r w:rsidR="00F92E85">
        <w:rPr>
          <w:i/>
          <w:lang w:val="en-US" w:bidi="en-US"/>
        </w:rPr>
        <w:t>o</w:t>
      </w:r>
      <w:r w:rsidRPr="004756F6">
        <w:rPr>
          <w:i/>
          <w:lang w:val="en-US" w:bidi="en-US"/>
        </w:rPr>
        <w:t xml:space="preserve">ther </w:t>
      </w:r>
      <w:r w:rsidR="00F92E85">
        <w:rPr>
          <w:i/>
          <w:lang w:val="en-US" w:bidi="en-US"/>
        </w:rPr>
        <w:t>e</w:t>
      </w:r>
      <w:r w:rsidRPr="004756F6">
        <w:rPr>
          <w:i/>
          <w:lang w:val="en-US" w:bidi="en-US"/>
        </w:rPr>
        <w:t xml:space="preserve">ssays in the </w:t>
      </w:r>
      <w:r w:rsidR="00F92E85">
        <w:rPr>
          <w:i/>
          <w:lang w:val="en-US" w:bidi="en-US"/>
        </w:rPr>
        <w:t>p</w:t>
      </w:r>
      <w:r w:rsidRPr="004756F6">
        <w:rPr>
          <w:i/>
          <w:lang w:val="en-US" w:bidi="en-US"/>
        </w:rPr>
        <w:t xml:space="preserve">hilosophy of </w:t>
      </w:r>
      <w:r w:rsidR="00F92E85">
        <w:rPr>
          <w:i/>
          <w:lang w:val="en-US" w:bidi="en-US"/>
        </w:rPr>
        <w:t>s</w:t>
      </w:r>
      <w:r w:rsidRPr="004756F6">
        <w:rPr>
          <w:i/>
          <w:lang w:val="en-US" w:bidi="en-US"/>
        </w:rPr>
        <w:t>cience</w:t>
      </w:r>
      <w:r w:rsidR="00F92E85">
        <w:rPr>
          <w:lang w:val="en-US" w:bidi="en-US"/>
        </w:rPr>
        <w:t>.</w:t>
      </w:r>
      <w:r w:rsidRPr="00413FEF">
        <w:rPr>
          <w:lang w:val="en-US" w:bidi="en-US"/>
        </w:rPr>
        <w:t xml:space="preserve"> </w:t>
      </w:r>
      <w:r w:rsidR="00F92E85">
        <w:rPr>
          <w:lang w:val="en-US" w:bidi="en-US"/>
        </w:rPr>
        <w:t xml:space="preserve">(pp. </w:t>
      </w:r>
      <w:r w:rsidRPr="00413FEF">
        <w:rPr>
          <w:lang w:val="en-US" w:bidi="en-US"/>
        </w:rPr>
        <w:t>81–96</w:t>
      </w:r>
      <w:r w:rsidR="00F92E85">
        <w:rPr>
          <w:lang w:val="en-US" w:bidi="en-US"/>
        </w:rPr>
        <w:t>)</w:t>
      </w:r>
      <w:r w:rsidRPr="00413FEF">
        <w:rPr>
          <w:lang w:val="en-US" w:bidi="en-US"/>
        </w:rPr>
        <w:t>. The Free Press.</w:t>
      </w:r>
    </w:p>
    <w:p w14:paraId="1EA4B7D8" w14:textId="139B0E26" w:rsidR="00887227" w:rsidRPr="00413FEF" w:rsidRDefault="00887227" w:rsidP="00947ED3">
      <w:pPr>
        <w:spacing w:line="360" w:lineRule="auto"/>
        <w:rPr>
          <w:lang w:val="en-GB" w:bidi="en-US"/>
        </w:rPr>
      </w:pPr>
      <w:r w:rsidRPr="00413FEF">
        <w:rPr>
          <w:lang w:val="en-GB" w:bidi="en-US"/>
        </w:rPr>
        <w:lastRenderedPageBreak/>
        <w:t>Hollis, M</w:t>
      </w:r>
      <w:r w:rsidR="00DD48FD">
        <w:rPr>
          <w:lang w:val="en-GB" w:bidi="en-US"/>
        </w:rPr>
        <w:t>.</w:t>
      </w:r>
      <w:r w:rsidR="0079296A" w:rsidRPr="00413FEF">
        <w:rPr>
          <w:lang w:val="en-GB" w:bidi="en-US"/>
        </w:rPr>
        <w:t xml:space="preserve"> (</w:t>
      </w:r>
      <w:r w:rsidRPr="00413FEF">
        <w:rPr>
          <w:lang w:val="en-GB" w:bidi="en-US"/>
        </w:rPr>
        <w:t>1998</w:t>
      </w:r>
      <w:r w:rsidR="0079296A" w:rsidRPr="00413FEF">
        <w:rPr>
          <w:lang w:val="en-GB" w:bidi="en-US"/>
        </w:rPr>
        <w:t>)</w:t>
      </w:r>
      <w:r w:rsidR="00DD48FD">
        <w:rPr>
          <w:lang w:val="en-GB" w:bidi="en-US"/>
        </w:rPr>
        <w:t>.</w:t>
      </w:r>
      <w:r w:rsidRPr="00413FEF">
        <w:rPr>
          <w:lang w:val="en-GB" w:bidi="en-US"/>
        </w:rPr>
        <w:t> </w:t>
      </w:r>
      <w:r w:rsidRPr="00413FEF">
        <w:rPr>
          <w:i/>
          <w:iCs/>
          <w:lang w:val="en-GB" w:bidi="en-US"/>
        </w:rPr>
        <w:t xml:space="preserve">Trust </w:t>
      </w:r>
      <w:r w:rsidR="00DD48FD">
        <w:rPr>
          <w:i/>
          <w:iCs/>
          <w:lang w:val="en-GB" w:bidi="en-US"/>
        </w:rPr>
        <w:t>w</w:t>
      </w:r>
      <w:r w:rsidRPr="00413FEF">
        <w:rPr>
          <w:i/>
          <w:iCs/>
          <w:lang w:val="en-GB" w:bidi="en-US"/>
        </w:rPr>
        <w:t xml:space="preserve">ithin </w:t>
      </w:r>
      <w:r w:rsidR="00DD48FD">
        <w:rPr>
          <w:i/>
          <w:iCs/>
          <w:lang w:val="en-GB" w:bidi="en-US"/>
        </w:rPr>
        <w:t>r</w:t>
      </w:r>
      <w:r w:rsidRPr="00413FEF">
        <w:rPr>
          <w:i/>
          <w:iCs/>
          <w:lang w:val="en-GB" w:bidi="en-US"/>
        </w:rPr>
        <w:t>eason</w:t>
      </w:r>
      <w:r w:rsidRPr="00413FEF">
        <w:rPr>
          <w:lang w:val="en-GB" w:bidi="en-US"/>
        </w:rPr>
        <w:t>. Cambridge University Press. doi:10.1017/CBO9780511612244</w:t>
      </w:r>
    </w:p>
    <w:p w14:paraId="632DDBEA" w14:textId="52C56F54" w:rsidR="00887227" w:rsidRPr="00413FEF" w:rsidRDefault="00887227" w:rsidP="00947ED3">
      <w:pPr>
        <w:spacing w:line="360" w:lineRule="auto"/>
        <w:rPr>
          <w:lang w:val="en-US" w:bidi="en-US"/>
        </w:rPr>
      </w:pPr>
      <w:r w:rsidRPr="00413FEF">
        <w:rPr>
          <w:lang w:val="en-US" w:bidi="en-US"/>
        </w:rPr>
        <w:t xml:space="preserve">Holton, </w:t>
      </w:r>
      <w:proofErr w:type="gramStart"/>
      <w:r w:rsidRPr="00413FEF">
        <w:rPr>
          <w:lang w:val="en-US" w:bidi="en-US"/>
        </w:rPr>
        <w:t>R</w:t>
      </w:r>
      <w:r w:rsidR="00E73629">
        <w:rPr>
          <w:lang w:val="en-US" w:bidi="en-US"/>
        </w:rPr>
        <w:t>.</w:t>
      </w:r>
      <w:r w:rsidRPr="00413FEF">
        <w:rPr>
          <w:lang w:val="en-US" w:bidi="en-US"/>
        </w:rPr>
        <w:t>.</w:t>
      </w:r>
      <w:proofErr w:type="gramEnd"/>
      <w:r w:rsidRPr="00413FEF">
        <w:rPr>
          <w:lang w:val="en-US" w:bidi="en-US"/>
        </w:rPr>
        <w:t xml:space="preserve"> (1994)</w:t>
      </w:r>
      <w:r w:rsidR="00E73629">
        <w:rPr>
          <w:lang w:val="en-US" w:bidi="en-US"/>
        </w:rPr>
        <w:t>.</w:t>
      </w:r>
      <w:r w:rsidRPr="00413FEF">
        <w:rPr>
          <w:lang w:val="en-US" w:bidi="en-US"/>
        </w:rPr>
        <w:t xml:space="preserve"> Deciding to </w:t>
      </w:r>
      <w:r w:rsidR="00E73629">
        <w:rPr>
          <w:lang w:val="en-US" w:bidi="en-US"/>
        </w:rPr>
        <w:t>t</w:t>
      </w:r>
      <w:r w:rsidRPr="00413FEF">
        <w:rPr>
          <w:lang w:val="en-US" w:bidi="en-US"/>
        </w:rPr>
        <w:t xml:space="preserve">rust, </w:t>
      </w:r>
      <w:r w:rsidR="00E73629">
        <w:rPr>
          <w:lang w:val="en-US" w:bidi="en-US"/>
        </w:rPr>
        <w:t>c</w:t>
      </w:r>
      <w:r w:rsidRPr="00413FEF">
        <w:rPr>
          <w:lang w:val="en-US" w:bidi="en-US"/>
        </w:rPr>
        <w:t xml:space="preserve">oming to </w:t>
      </w:r>
      <w:r w:rsidR="00E73629">
        <w:rPr>
          <w:lang w:val="en-US" w:bidi="en-US"/>
        </w:rPr>
        <w:t>b</w:t>
      </w:r>
      <w:r w:rsidRPr="00413FEF">
        <w:rPr>
          <w:lang w:val="en-US" w:bidi="en-US"/>
        </w:rPr>
        <w:t xml:space="preserve">elieve. </w:t>
      </w:r>
      <w:r w:rsidRPr="004756F6">
        <w:rPr>
          <w:i/>
          <w:lang w:val="en-US" w:bidi="en-US"/>
        </w:rPr>
        <w:t>Australasian Journal of Philosophy</w:t>
      </w:r>
      <w:r w:rsidRPr="00413FEF">
        <w:rPr>
          <w:lang w:val="en-US" w:bidi="en-US"/>
        </w:rPr>
        <w:t xml:space="preserve"> </w:t>
      </w:r>
      <w:r w:rsidRPr="004756F6">
        <w:rPr>
          <w:i/>
          <w:lang w:val="en-US" w:bidi="en-US"/>
        </w:rPr>
        <w:t>72</w:t>
      </w:r>
      <w:r w:rsidRPr="00413FEF">
        <w:rPr>
          <w:lang w:val="en-US" w:bidi="en-US"/>
        </w:rPr>
        <w:t>(1)</w:t>
      </w:r>
      <w:r w:rsidR="00E73629">
        <w:rPr>
          <w:lang w:val="en-US" w:bidi="en-US"/>
        </w:rPr>
        <w:t>,</w:t>
      </w:r>
      <w:r w:rsidRPr="00413FEF">
        <w:rPr>
          <w:lang w:val="en-US" w:bidi="en-US"/>
        </w:rPr>
        <w:t xml:space="preserve"> 63–76. https://doi.org/10.1080/00048409412345881</w:t>
      </w:r>
    </w:p>
    <w:p w14:paraId="22D3BCA7" w14:textId="7BB7484A" w:rsidR="007639E8" w:rsidRPr="00413FEF" w:rsidRDefault="00887227" w:rsidP="00827447">
      <w:pPr>
        <w:spacing w:line="360" w:lineRule="auto"/>
        <w:rPr>
          <w:lang w:val="en-US" w:bidi="en-US"/>
        </w:rPr>
      </w:pPr>
      <w:proofErr w:type="spellStart"/>
      <w:r w:rsidRPr="00413FEF">
        <w:rPr>
          <w:lang w:val="en-US" w:bidi="en-US"/>
        </w:rPr>
        <w:t>Jasanoff</w:t>
      </w:r>
      <w:proofErr w:type="spellEnd"/>
      <w:r w:rsidRPr="00413FEF">
        <w:rPr>
          <w:lang w:val="en-US" w:bidi="en-US"/>
        </w:rPr>
        <w:t xml:space="preserve">, S. </w:t>
      </w:r>
      <w:r w:rsidR="007639E8" w:rsidRPr="00413FEF">
        <w:rPr>
          <w:lang w:val="en-US" w:bidi="en-US"/>
        </w:rPr>
        <w:t>(</w:t>
      </w:r>
      <w:r w:rsidRPr="00413FEF">
        <w:rPr>
          <w:lang w:val="en-US" w:bidi="en-US"/>
        </w:rPr>
        <w:t>2014</w:t>
      </w:r>
      <w:r w:rsidR="007639E8" w:rsidRPr="00413FEF">
        <w:rPr>
          <w:lang w:val="en-US" w:bidi="en-US"/>
        </w:rPr>
        <w:t>)</w:t>
      </w:r>
      <w:r w:rsidR="00826CE2">
        <w:rPr>
          <w:lang w:val="en-US" w:bidi="en-US"/>
        </w:rPr>
        <w:t>.</w:t>
      </w:r>
      <w:r w:rsidRPr="00413FEF">
        <w:rPr>
          <w:lang w:val="en-US" w:bidi="en-US"/>
        </w:rPr>
        <w:t xml:space="preserve"> A </w:t>
      </w:r>
      <w:r w:rsidR="00826CE2">
        <w:rPr>
          <w:lang w:val="en-US" w:bidi="en-US"/>
        </w:rPr>
        <w:t>m</w:t>
      </w:r>
      <w:r w:rsidRPr="00413FEF">
        <w:rPr>
          <w:lang w:val="en-US" w:bidi="en-US"/>
        </w:rPr>
        <w:t xml:space="preserve">irror for </w:t>
      </w:r>
      <w:r w:rsidR="00826CE2">
        <w:rPr>
          <w:lang w:val="en-US" w:bidi="en-US"/>
        </w:rPr>
        <w:t>s</w:t>
      </w:r>
      <w:r w:rsidRPr="00413FEF">
        <w:rPr>
          <w:lang w:val="en-US" w:bidi="en-US"/>
        </w:rPr>
        <w:t xml:space="preserve">cience. </w:t>
      </w:r>
      <w:r w:rsidRPr="004756F6">
        <w:rPr>
          <w:i/>
          <w:lang w:val="en-US" w:bidi="en-US"/>
        </w:rPr>
        <w:t>Public Understanding of Science</w:t>
      </w:r>
      <w:r w:rsidR="00826CE2">
        <w:rPr>
          <w:lang w:val="en-US" w:bidi="en-US"/>
        </w:rPr>
        <w:t>,</w:t>
      </w:r>
      <w:r w:rsidRPr="00413FEF">
        <w:rPr>
          <w:lang w:val="en-US" w:bidi="en-US"/>
        </w:rPr>
        <w:t xml:space="preserve"> 23 (1)</w:t>
      </w:r>
      <w:r w:rsidR="00826CE2">
        <w:rPr>
          <w:lang w:val="en-US" w:bidi="en-US"/>
        </w:rPr>
        <w:t>,</w:t>
      </w:r>
      <w:r w:rsidRPr="00413FEF">
        <w:rPr>
          <w:lang w:val="en-US" w:bidi="en-US"/>
        </w:rPr>
        <w:t xml:space="preserve"> 21–26. https://doi.org/10.1177/0963662513505509</w:t>
      </w:r>
    </w:p>
    <w:p w14:paraId="7CF7F616" w14:textId="017A81AB" w:rsidR="00887227" w:rsidRPr="00413FEF" w:rsidRDefault="00887227" w:rsidP="00827447">
      <w:pPr>
        <w:spacing w:line="360" w:lineRule="auto"/>
        <w:rPr>
          <w:lang w:val="en-US" w:bidi="en-US"/>
        </w:rPr>
      </w:pPr>
      <w:r w:rsidRPr="00413FEF">
        <w:rPr>
          <w:lang w:val="en-US" w:bidi="en-US"/>
        </w:rPr>
        <w:t>John, S. (2018)</w:t>
      </w:r>
      <w:r w:rsidR="00412E49">
        <w:rPr>
          <w:lang w:val="en-US" w:bidi="en-US"/>
        </w:rPr>
        <w:t>.</w:t>
      </w:r>
      <w:r w:rsidRPr="00413FEF">
        <w:rPr>
          <w:lang w:val="en-US" w:bidi="en-US"/>
        </w:rPr>
        <w:t xml:space="preserve"> Epistemic trust and the ethics of science communication: </w:t>
      </w:r>
      <w:r w:rsidR="00412E49">
        <w:rPr>
          <w:lang w:val="en-US" w:bidi="en-US"/>
        </w:rPr>
        <w:t>A</w:t>
      </w:r>
      <w:r w:rsidRPr="00413FEF">
        <w:rPr>
          <w:lang w:val="en-US" w:bidi="en-US"/>
        </w:rPr>
        <w:t>gainst transparency, openness, sincerity and honesty</w:t>
      </w:r>
      <w:r w:rsidR="00412E49">
        <w:rPr>
          <w:lang w:val="en-US" w:bidi="en-US"/>
        </w:rPr>
        <w:t>.</w:t>
      </w:r>
      <w:r w:rsidRPr="00413FEF">
        <w:rPr>
          <w:lang w:val="en-US" w:bidi="en-US"/>
        </w:rPr>
        <w:t xml:space="preserve"> </w:t>
      </w:r>
      <w:r w:rsidRPr="004756F6">
        <w:rPr>
          <w:i/>
          <w:lang w:val="en-US" w:bidi="en-US"/>
        </w:rPr>
        <w:t>Social Epistemology</w:t>
      </w:r>
      <w:r w:rsidR="00412E49">
        <w:rPr>
          <w:lang w:val="en-US" w:bidi="en-US"/>
        </w:rPr>
        <w:t>,</w:t>
      </w:r>
      <w:r w:rsidRPr="00413FEF">
        <w:rPr>
          <w:lang w:val="en-US" w:bidi="en-US"/>
        </w:rPr>
        <w:t xml:space="preserve"> </w:t>
      </w:r>
      <w:r w:rsidRPr="004756F6">
        <w:rPr>
          <w:i/>
          <w:lang w:val="en-US" w:bidi="en-US"/>
        </w:rPr>
        <w:t>32</w:t>
      </w:r>
      <w:r w:rsidRPr="00413FEF">
        <w:rPr>
          <w:lang w:val="en-US" w:bidi="en-US"/>
        </w:rPr>
        <w:t>(2)</w:t>
      </w:r>
      <w:r w:rsidR="00412E49">
        <w:rPr>
          <w:lang w:val="en-US" w:bidi="en-US"/>
        </w:rPr>
        <w:t xml:space="preserve">, </w:t>
      </w:r>
      <w:r w:rsidRPr="00413FEF">
        <w:rPr>
          <w:lang w:val="en-US" w:bidi="en-US"/>
        </w:rPr>
        <w:t>75-87.</w:t>
      </w:r>
    </w:p>
    <w:p w14:paraId="4FA8930B" w14:textId="1803D3D7" w:rsidR="00887227" w:rsidRPr="00413FEF" w:rsidRDefault="00887227" w:rsidP="00947ED3">
      <w:pPr>
        <w:spacing w:line="360" w:lineRule="auto"/>
        <w:rPr>
          <w:lang w:val="en-US" w:bidi="en-US"/>
        </w:rPr>
      </w:pPr>
      <w:r w:rsidRPr="00413FEF">
        <w:rPr>
          <w:lang w:val="en-US" w:bidi="en-US"/>
        </w:rPr>
        <w:t>Jones, K. (1996)</w:t>
      </w:r>
      <w:r w:rsidR="00412E49">
        <w:rPr>
          <w:lang w:val="en-US" w:bidi="en-US"/>
        </w:rPr>
        <w:t>.</w:t>
      </w:r>
      <w:r w:rsidRPr="00413FEF">
        <w:rPr>
          <w:lang w:val="en-US" w:bidi="en-US"/>
        </w:rPr>
        <w:t xml:space="preserve"> Trust as an </w:t>
      </w:r>
      <w:r w:rsidR="00412E49">
        <w:rPr>
          <w:lang w:val="en-US" w:bidi="en-US"/>
        </w:rPr>
        <w:t>A</w:t>
      </w:r>
      <w:r w:rsidRPr="00413FEF">
        <w:rPr>
          <w:lang w:val="en-US" w:bidi="en-US"/>
        </w:rPr>
        <w:t xml:space="preserve">ffective </w:t>
      </w:r>
      <w:r w:rsidR="00412E49">
        <w:rPr>
          <w:lang w:val="en-US" w:bidi="en-US"/>
        </w:rPr>
        <w:t>A</w:t>
      </w:r>
      <w:r w:rsidRPr="00413FEF">
        <w:rPr>
          <w:lang w:val="en-US" w:bidi="en-US"/>
        </w:rPr>
        <w:t xml:space="preserve">ttitude. </w:t>
      </w:r>
      <w:r w:rsidRPr="004756F6">
        <w:rPr>
          <w:i/>
          <w:lang w:val="en-US" w:bidi="en-US"/>
        </w:rPr>
        <w:t>Ethics</w:t>
      </w:r>
      <w:r w:rsidRPr="00413FEF">
        <w:rPr>
          <w:lang w:val="en-US" w:bidi="en-US"/>
        </w:rPr>
        <w:t xml:space="preserve">, </w:t>
      </w:r>
      <w:r w:rsidRPr="004756F6">
        <w:rPr>
          <w:i/>
          <w:lang w:val="en-US" w:bidi="en-US"/>
        </w:rPr>
        <w:t>107</w:t>
      </w:r>
      <w:r w:rsidRPr="00413FEF">
        <w:rPr>
          <w:lang w:val="en-US" w:bidi="en-US"/>
        </w:rPr>
        <w:t>(1), 4-25.</w:t>
      </w:r>
    </w:p>
    <w:p w14:paraId="111DD9F3" w14:textId="7F4426B8" w:rsidR="00887227" w:rsidRPr="00413FEF" w:rsidRDefault="00887227" w:rsidP="00947ED3">
      <w:pPr>
        <w:spacing w:line="360" w:lineRule="auto"/>
        <w:rPr>
          <w:lang w:val="en-US" w:bidi="en-US"/>
        </w:rPr>
      </w:pPr>
      <w:r w:rsidRPr="00413FEF">
        <w:rPr>
          <w:lang w:val="en-US" w:bidi="en-US"/>
        </w:rPr>
        <w:t>Jones, K. (2004)</w:t>
      </w:r>
      <w:r w:rsidR="00081278">
        <w:rPr>
          <w:lang w:val="en-US" w:bidi="en-US"/>
        </w:rPr>
        <w:t>.</w:t>
      </w:r>
      <w:r w:rsidRPr="00413FEF">
        <w:rPr>
          <w:lang w:val="en-US" w:bidi="en-US"/>
        </w:rPr>
        <w:t xml:space="preserve"> Trust and </w:t>
      </w:r>
      <w:r w:rsidR="00081278">
        <w:rPr>
          <w:lang w:val="en-US" w:bidi="en-US"/>
        </w:rPr>
        <w:t>T</w:t>
      </w:r>
      <w:r w:rsidRPr="00413FEF">
        <w:rPr>
          <w:lang w:val="en-US" w:bidi="en-US"/>
        </w:rPr>
        <w:t>error.</w:t>
      </w:r>
      <w:r w:rsidR="00CB41F6" w:rsidRPr="00413FEF">
        <w:rPr>
          <w:lang w:val="en-US" w:bidi="en-US"/>
        </w:rPr>
        <w:t xml:space="preserve"> </w:t>
      </w:r>
      <w:r w:rsidRPr="00413FEF">
        <w:rPr>
          <w:lang w:val="en-US" w:bidi="en-US"/>
        </w:rPr>
        <w:t xml:space="preserve">In </w:t>
      </w:r>
      <w:r w:rsidR="00081278">
        <w:rPr>
          <w:lang w:val="en-US" w:bidi="en-US"/>
        </w:rPr>
        <w:t xml:space="preserve">p. </w:t>
      </w:r>
      <w:proofErr w:type="spellStart"/>
      <w:r w:rsidRPr="00413FEF">
        <w:rPr>
          <w:lang w:val="en-US" w:bidi="en-US"/>
        </w:rPr>
        <w:t>DesAutels</w:t>
      </w:r>
      <w:proofErr w:type="spellEnd"/>
      <w:r w:rsidRPr="00413FEF">
        <w:rPr>
          <w:lang w:val="en-US" w:bidi="en-US"/>
        </w:rPr>
        <w:t xml:space="preserve"> </w:t>
      </w:r>
      <w:r w:rsidR="00081278">
        <w:rPr>
          <w:lang w:val="en-US" w:bidi="en-US"/>
        </w:rPr>
        <w:t>&amp;</w:t>
      </w:r>
      <w:r w:rsidRPr="00413FEF">
        <w:rPr>
          <w:lang w:val="en-US" w:bidi="en-US"/>
        </w:rPr>
        <w:t xml:space="preserve"> </w:t>
      </w:r>
      <w:r w:rsidR="00081278">
        <w:rPr>
          <w:lang w:val="en-US" w:bidi="en-US"/>
        </w:rPr>
        <w:t xml:space="preserve">M. </w:t>
      </w:r>
      <w:r w:rsidRPr="00413FEF">
        <w:rPr>
          <w:lang w:val="en-US" w:bidi="en-US"/>
        </w:rPr>
        <w:t>Urban Walker (</w:t>
      </w:r>
      <w:r w:rsidR="00081278">
        <w:rPr>
          <w:lang w:val="en-US" w:bidi="en-US"/>
        </w:rPr>
        <w:t>E</w:t>
      </w:r>
      <w:r w:rsidRPr="00413FEF">
        <w:rPr>
          <w:lang w:val="en-US" w:bidi="en-US"/>
        </w:rPr>
        <w:t>ds.)</w:t>
      </w:r>
      <w:r w:rsidR="00081278">
        <w:rPr>
          <w:lang w:val="en-US" w:bidi="en-US"/>
        </w:rPr>
        <w:t>.</w:t>
      </w:r>
      <w:r w:rsidRPr="00413FEF">
        <w:rPr>
          <w:lang w:val="en-US" w:bidi="en-US"/>
        </w:rPr>
        <w:t xml:space="preserve"> </w:t>
      </w:r>
      <w:r w:rsidRPr="00413FEF">
        <w:rPr>
          <w:i/>
          <w:iCs/>
          <w:lang w:val="en-US" w:bidi="en-US"/>
        </w:rPr>
        <w:t xml:space="preserve">Moral </w:t>
      </w:r>
      <w:r w:rsidR="00621DF4">
        <w:rPr>
          <w:i/>
          <w:iCs/>
          <w:lang w:val="en-US" w:bidi="en-US"/>
        </w:rPr>
        <w:t>p</w:t>
      </w:r>
      <w:r w:rsidRPr="00413FEF">
        <w:rPr>
          <w:i/>
          <w:iCs/>
          <w:lang w:val="en-US" w:bidi="en-US"/>
        </w:rPr>
        <w:t xml:space="preserve">sychology: Feminist </w:t>
      </w:r>
      <w:r w:rsidR="00621DF4">
        <w:rPr>
          <w:i/>
          <w:iCs/>
          <w:lang w:val="en-US" w:bidi="en-US"/>
        </w:rPr>
        <w:t>e</w:t>
      </w:r>
      <w:r w:rsidRPr="00413FEF">
        <w:rPr>
          <w:i/>
          <w:iCs/>
          <w:lang w:val="en-US" w:bidi="en-US"/>
        </w:rPr>
        <w:t xml:space="preserve">thics and </w:t>
      </w:r>
      <w:r w:rsidR="00621DF4">
        <w:rPr>
          <w:i/>
          <w:iCs/>
          <w:lang w:val="en-US" w:bidi="en-US"/>
        </w:rPr>
        <w:t>s</w:t>
      </w:r>
      <w:r w:rsidRPr="00413FEF">
        <w:rPr>
          <w:i/>
          <w:iCs/>
          <w:lang w:val="en-US" w:bidi="en-US"/>
        </w:rPr>
        <w:t xml:space="preserve">ocial </w:t>
      </w:r>
      <w:r w:rsidR="00621DF4">
        <w:rPr>
          <w:i/>
          <w:iCs/>
          <w:lang w:val="en-US" w:bidi="en-US"/>
        </w:rPr>
        <w:t>t</w:t>
      </w:r>
      <w:r w:rsidRPr="00413FEF">
        <w:rPr>
          <w:i/>
          <w:iCs/>
          <w:lang w:val="en-US" w:bidi="en-US"/>
        </w:rPr>
        <w:t>heory</w:t>
      </w:r>
      <w:r w:rsidR="00621DF4" w:rsidRPr="00621DF4">
        <w:rPr>
          <w:lang w:val="en-US" w:bidi="en-US"/>
        </w:rPr>
        <w:t xml:space="preserve"> </w:t>
      </w:r>
      <w:r w:rsidR="00621DF4">
        <w:rPr>
          <w:lang w:val="en-US" w:bidi="en-US"/>
        </w:rPr>
        <w:t>(</w:t>
      </w:r>
      <w:r w:rsidR="00621DF4" w:rsidRPr="00413FEF">
        <w:rPr>
          <w:lang w:val="en-US" w:bidi="en-US"/>
        </w:rPr>
        <w:t>pp. 3-18</w:t>
      </w:r>
      <w:r w:rsidR="00621DF4">
        <w:rPr>
          <w:lang w:val="en-US" w:bidi="en-US"/>
        </w:rPr>
        <w:t>)</w:t>
      </w:r>
      <w:r w:rsidRPr="00413FEF">
        <w:rPr>
          <w:i/>
          <w:iCs/>
          <w:lang w:val="en-US" w:bidi="en-US"/>
        </w:rPr>
        <w:t>.</w:t>
      </w:r>
      <w:r w:rsidRPr="00413FEF">
        <w:rPr>
          <w:lang w:val="en-US" w:bidi="en-US"/>
        </w:rPr>
        <w:t xml:space="preserve"> Rowman and Littlefield</w:t>
      </w:r>
      <w:r w:rsidR="00621DF4">
        <w:rPr>
          <w:lang w:val="en-US" w:bidi="en-US"/>
        </w:rPr>
        <w:t>.</w:t>
      </w:r>
    </w:p>
    <w:p w14:paraId="03448E05" w14:textId="0DBF3925" w:rsidR="008B3ABF" w:rsidRPr="00413FEF" w:rsidRDefault="00887227" w:rsidP="008B3ABF">
      <w:pPr>
        <w:spacing w:line="360" w:lineRule="auto"/>
        <w:rPr>
          <w:lang w:val="en-US" w:bidi="en-US"/>
        </w:rPr>
      </w:pPr>
      <w:r w:rsidRPr="00413FEF">
        <w:rPr>
          <w:lang w:val="en-US" w:bidi="en-US"/>
        </w:rPr>
        <w:t xml:space="preserve">Jones, K. </w:t>
      </w:r>
      <w:r w:rsidR="008B3ABF" w:rsidRPr="00413FEF">
        <w:rPr>
          <w:lang w:val="en-US" w:bidi="en-US"/>
        </w:rPr>
        <w:t>(</w:t>
      </w:r>
      <w:r w:rsidRPr="00413FEF">
        <w:rPr>
          <w:lang w:val="en-US" w:bidi="en-US"/>
        </w:rPr>
        <w:t>2013</w:t>
      </w:r>
      <w:r w:rsidR="008B3ABF" w:rsidRPr="00413FEF">
        <w:rPr>
          <w:lang w:val="en-US" w:bidi="en-US"/>
        </w:rPr>
        <w:t>)</w:t>
      </w:r>
      <w:r w:rsidR="00440B65">
        <w:rPr>
          <w:lang w:val="en-US" w:bidi="en-US"/>
        </w:rPr>
        <w:t>.</w:t>
      </w:r>
      <w:r w:rsidR="008B3ABF" w:rsidRPr="00413FEF">
        <w:rPr>
          <w:lang w:val="en-US" w:bidi="en-US"/>
        </w:rPr>
        <w:t xml:space="preserve"> Distrusting the </w:t>
      </w:r>
      <w:r w:rsidR="00440B65">
        <w:rPr>
          <w:lang w:val="en-US" w:bidi="en-US"/>
        </w:rPr>
        <w:t>t</w:t>
      </w:r>
      <w:r w:rsidR="008B3ABF" w:rsidRPr="00413FEF">
        <w:rPr>
          <w:lang w:val="en-US" w:bidi="en-US"/>
        </w:rPr>
        <w:t>rustworthy</w:t>
      </w:r>
      <w:r w:rsidR="00440B65">
        <w:rPr>
          <w:lang w:val="en-US" w:bidi="en-US"/>
        </w:rPr>
        <w:t>.</w:t>
      </w:r>
      <w:r w:rsidR="008B3ABF" w:rsidRPr="00413FEF">
        <w:rPr>
          <w:lang w:val="en-US" w:bidi="en-US"/>
        </w:rPr>
        <w:t xml:space="preserve"> </w:t>
      </w:r>
      <w:r w:rsidR="00440B65">
        <w:rPr>
          <w:lang w:val="en-US" w:bidi="en-US"/>
        </w:rPr>
        <w:t>I</w:t>
      </w:r>
      <w:r w:rsidR="008B3ABF" w:rsidRPr="00413FEF">
        <w:rPr>
          <w:lang w:val="en-US" w:bidi="en-US"/>
        </w:rPr>
        <w:t xml:space="preserve">n </w:t>
      </w:r>
      <w:r w:rsidR="00440B65">
        <w:rPr>
          <w:lang w:val="en-US" w:bidi="en-US"/>
        </w:rPr>
        <w:t xml:space="preserve">D. </w:t>
      </w:r>
      <w:r w:rsidR="008B3ABF" w:rsidRPr="00413FEF">
        <w:rPr>
          <w:lang w:val="en-US" w:bidi="en-US"/>
        </w:rPr>
        <w:t xml:space="preserve">Archard, </w:t>
      </w:r>
      <w:r w:rsidR="00440B65">
        <w:rPr>
          <w:lang w:val="en-US" w:bidi="en-US"/>
        </w:rPr>
        <w:t xml:space="preserve">M. </w:t>
      </w:r>
      <w:r w:rsidR="008B3ABF" w:rsidRPr="00413FEF">
        <w:rPr>
          <w:lang w:val="en-US" w:bidi="en-US"/>
        </w:rPr>
        <w:t xml:space="preserve">Deveaux, </w:t>
      </w:r>
      <w:r w:rsidR="00440B65">
        <w:rPr>
          <w:lang w:val="en-US" w:bidi="en-US"/>
        </w:rPr>
        <w:t xml:space="preserve">N. </w:t>
      </w:r>
      <w:r w:rsidR="008B3ABF" w:rsidRPr="00413FEF">
        <w:rPr>
          <w:lang w:val="en-US" w:bidi="en-US"/>
        </w:rPr>
        <w:t xml:space="preserve">Manson, </w:t>
      </w:r>
      <w:r w:rsidR="00440B65">
        <w:rPr>
          <w:lang w:val="en-US" w:bidi="en-US"/>
        </w:rPr>
        <w:t>&amp;</w:t>
      </w:r>
      <w:r w:rsidR="008B3ABF" w:rsidRPr="00413FEF">
        <w:rPr>
          <w:lang w:val="en-US" w:bidi="en-US"/>
        </w:rPr>
        <w:t xml:space="preserve"> D</w:t>
      </w:r>
      <w:r w:rsidR="00440B65">
        <w:rPr>
          <w:lang w:val="en-US" w:bidi="en-US"/>
        </w:rPr>
        <w:t>.</w:t>
      </w:r>
      <w:r w:rsidR="008B3ABF" w:rsidRPr="00413FEF">
        <w:rPr>
          <w:lang w:val="en-US" w:bidi="en-US"/>
        </w:rPr>
        <w:t xml:space="preserve"> Weinstock (</w:t>
      </w:r>
      <w:r w:rsidR="00440B65">
        <w:rPr>
          <w:lang w:val="en-US" w:bidi="en-US"/>
        </w:rPr>
        <w:t>E</w:t>
      </w:r>
      <w:r w:rsidR="008B3ABF" w:rsidRPr="00413FEF">
        <w:rPr>
          <w:lang w:val="en-US" w:bidi="en-US"/>
        </w:rPr>
        <w:t>ds</w:t>
      </w:r>
      <w:r w:rsidR="00440B65">
        <w:rPr>
          <w:lang w:val="en-US" w:bidi="en-US"/>
        </w:rPr>
        <w:t>.</w:t>
      </w:r>
      <w:r w:rsidR="008B3ABF" w:rsidRPr="00413FEF">
        <w:rPr>
          <w:lang w:val="en-US" w:bidi="en-US"/>
        </w:rPr>
        <w:t xml:space="preserve">). </w:t>
      </w:r>
      <w:r w:rsidR="008B3ABF" w:rsidRPr="00413FEF">
        <w:rPr>
          <w:i/>
          <w:iCs/>
          <w:lang w:val="en-US" w:bidi="en-US"/>
        </w:rPr>
        <w:t>Reading Onora O'Neill</w:t>
      </w:r>
      <w:r w:rsidR="008B3ABF" w:rsidRPr="00413FEF">
        <w:rPr>
          <w:lang w:val="en-US" w:bidi="en-US"/>
        </w:rPr>
        <w:t>. Routledge</w:t>
      </w:r>
      <w:r w:rsidR="00440B65">
        <w:rPr>
          <w:lang w:val="en-US" w:bidi="en-US"/>
        </w:rPr>
        <w:t>.</w:t>
      </w:r>
    </w:p>
    <w:p w14:paraId="2A15A3B4" w14:textId="18F35141" w:rsidR="00887227" w:rsidRPr="00413FEF" w:rsidRDefault="00887227" w:rsidP="00947ED3">
      <w:pPr>
        <w:spacing w:line="360" w:lineRule="auto"/>
        <w:rPr>
          <w:lang w:val="en-US" w:bidi="en-US"/>
        </w:rPr>
      </w:pPr>
      <w:r w:rsidRPr="00413FEF">
        <w:rPr>
          <w:lang w:val="en-US" w:bidi="en-US"/>
        </w:rPr>
        <w:t>Kahan, D., Jenkins-Smith, H.,</w:t>
      </w:r>
      <w:r w:rsidR="00E838B3">
        <w:rPr>
          <w:lang w:val="en-US" w:bidi="en-US"/>
        </w:rPr>
        <w:t xml:space="preserve"> &amp;</w:t>
      </w:r>
      <w:r w:rsidRPr="00413FEF">
        <w:rPr>
          <w:lang w:val="en-US" w:bidi="en-US"/>
        </w:rPr>
        <w:t xml:space="preserve"> Braman, D. (2010)</w:t>
      </w:r>
      <w:r w:rsidR="00E838B3">
        <w:rPr>
          <w:lang w:val="en-US" w:bidi="en-US"/>
        </w:rPr>
        <w:t>.</w:t>
      </w:r>
      <w:r w:rsidRPr="00413FEF">
        <w:rPr>
          <w:lang w:val="en-US" w:bidi="en-US"/>
        </w:rPr>
        <w:t xml:space="preserve"> Cultural </w:t>
      </w:r>
      <w:r w:rsidR="00E838B3">
        <w:rPr>
          <w:lang w:val="en-US" w:bidi="en-US"/>
        </w:rPr>
        <w:t>c</w:t>
      </w:r>
      <w:r w:rsidRPr="00413FEF">
        <w:rPr>
          <w:lang w:val="en-US" w:bidi="en-US"/>
        </w:rPr>
        <w:t xml:space="preserve">ognition of </w:t>
      </w:r>
      <w:r w:rsidR="00E838B3">
        <w:rPr>
          <w:lang w:val="en-US" w:bidi="en-US"/>
        </w:rPr>
        <w:t>s</w:t>
      </w:r>
      <w:r w:rsidRPr="00413FEF">
        <w:rPr>
          <w:lang w:val="en-US" w:bidi="en-US"/>
        </w:rPr>
        <w:t xml:space="preserve">cientific </w:t>
      </w:r>
      <w:r w:rsidR="00E838B3">
        <w:rPr>
          <w:lang w:val="en-US" w:bidi="en-US"/>
        </w:rPr>
        <w:t>c</w:t>
      </w:r>
      <w:r w:rsidRPr="00413FEF">
        <w:rPr>
          <w:lang w:val="en-US" w:bidi="en-US"/>
        </w:rPr>
        <w:t xml:space="preserve">onsensus. </w:t>
      </w:r>
      <w:r w:rsidRPr="00413FEF">
        <w:rPr>
          <w:i/>
          <w:iCs/>
          <w:lang w:val="en-US" w:bidi="en-US"/>
        </w:rPr>
        <w:t>Journal of Risk Research</w:t>
      </w:r>
      <w:r w:rsidRPr="00413FEF">
        <w:rPr>
          <w:lang w:val="en-US" w:bidi="en-US"/>
        </w:rPr>
        <w:t xml:space="preserve">, </w:t>
      </w:r>
      <w:r w:rsidRPr="004756F6">
        <w:rPr>
          <w:i/>
          <w:lang w:val="en-US" w:bidi="en-US"/>
        </w:rPr>
        <w:t>14</w:t>
      </w:r>
      <w:r w:rsidRPr="00413FEF">
        <w:rPr>
          <w:lang w:val="en-US" w:bidi="en-US"/>
        </w:rPr>
        <w:t>(2), 147-174.</w:t>
      </w:r>
    </w:p>
    <w:p w14:paraId="424EDD37" w14:textId="5DE1CD21" w:rsidR="00887227" w:rsidRPr="00413FEF" w:rsidRDefault="00887227" w:rsidP="00C53542">
      <w:pPr>
        <w:spacing w:line="360" w:lineRule="auto"/>
        <w:rPr>
          <w:lang w:val="en-US" w:bidi="en-US"/>
        </w:rPr>
      </w:pPr>
      <w:r w:rsidRPr="00413FEF">
        <w:rPr>
          <w:lang w:val="en-US" w:bidi="en-US"/>
        </w:rPr>
        <w:t>Kelsall, R. (2021)</w:t>
      </w:r>
      <w:r w:rsidR="00E838B3">
        <w:rPr>
          <w:lang w:val="en-US" w:bidi="en-US"/>
        </w:rPr>
        <w:t>.</w:t>
      </w:r>
      <w:r w:rsidRPr="00413FEF">
        <w:rPr>
          <w:lang w:val="en-US" w:bidi="en-US"/>
        </w:rPr>
        <w:t xml:space="preserve"> The </w:t>
      </w:r>
      <w:r w:rsidR="00E838B3">
        <w:rPr>
          <w:lang w:val="en-US" w:bidi="en-US"/>
        </w:rPr>
        <w:t>t</w:t>
      </w:r>
      <w:r w:rsidRPr="00413FEF">
        <w:rPr>
          <w:lang w:val="en-US" w:bidi="en-US"/>
        </w:rPr>
        <w:t>rust‐</w:t>
      </w:r>
      <w:r w:rsidR="00E838B3">
        <w:rPr>
          <w:lang w:val="en-US" w:bidi="en-US"/>
        </w:rPr>
        <w:t>b</w:t>
      </w:r>
      <w:r w:rsidRPr="00413FEF">
        <w:rPr>
          <w:lang w:val="en-US" w:bidi="en-US"/>
        </w:rPr>
        <w:t xml:space="preserve">ased </w:t>
      </w:r>
      <w:r w:rsidR="00E838B3">
        <w:rPr>
          <w:lang w:val="en-US" w:bidi="en-US"/>
        </w:rPr>
        <w:t>c</w:t>
      </w:r>
      <w:r w:rsidRPr="00413FEF">
        <w:rPr>
          <w:lang w:val="en-US" w:bidi="en-US"/>
        </w:rPr>
        <w:t xml:space="preserve">ommunicative </w:t>
      </w:r>
      <w:r w:rsidR="00E838B3">
        <w:rPr>
          <w:lang w:val="en-US" w:bidi="en-US"/>
        </w:rPr>
        <w:t>o</w:t>
      </w:r>
      <w:r w:rsidRPr="00413FEF">
        <w:rPr>
          <w:lang w:val="en-US" w:bidi="en-US"/>
        </w:rPr>
        <w:t xml:space="preserve">bligations of </w:t>
      </w:r>
      <w:r w:rsidR="00E838B3">
        <w:rPr>
          <w:lang w:val="en-US" w:bidi="en-US"/>
        </w:rPr>
        <w:t>e</w:t>
      </w:r>
      <w:r w:rsidRPr="00413FEF">
        <w:rPr>
          <w:lang w:val="en-US" w:bidi="en-US"/>
        </w:rPr>
        <w:t xml:space="preserve">xpert </w:t>
      </w:r>
      <w:r w:rsidR="00E838B3">
        <w:rPr>
          <w:lang w:val="en-US" w:bidi="en-US"/>
        </w:rPr>
        <w:t>a</w:t>
      </w:r>
      <w:r w:rsidRPr="00413FEF">
        <w:rPr>
          <w:lang w:val="en-US" w:bidi="en-US"/>
        </w:rPr>
        <w:t>uthorities</w:t>
      </w:r>
      <w:r w:rsidR="00E838B3">
        <w:rPr>
          <w:lang w:val="en-US" w:bidi="en-US"/>
        </w:rPr>
        <w:t>.</w:t>
      </w:r>
      <w:r w:rsidRPr="00413FEF">
        <w:rPr>
          <w:lang w:val="en-US" w:bidi="en-US"/>
        </w:rPr>
        <w:t xml:space="preserve"> </w:t>
      </w:r>
      <w:r w:rsidRPr="00413FEF">
        <w:rPr>
          <w:i/>
          <w:iCs/>
          <w:lang w:val="en-US" w:bidi="en-US"/>
        </w:rPr>
        <w:t>Journal of Applied Philosophy</w:t>
      </w:r>
      <w:r w:rsidRPr="00413FEF">
        <w:rPr>
          <w:lang w:val="en-US" w:bidi="en-US"/>
        </w:rPr>
        <w:t xml:space="preserve"> </w:t>
      </w:r>
      <w:r w:rsidRPr="004756F6">
        <w:rPr>
          <w:i/>
          <w:lang w:val="en-US" w:bidi="en-US"/>
        </w:rPr>
        <w:t>38</w:t>
      </w:r>
      <w:r w:rsidRPr="00413FEF">
        <w:rPr>
          <w:lang w:val="en-US" w:bidi="en-US"/>
        </w:rPr>
        <w:t>(2)</w:t>
      </w:r>
      <w:r w:rsidR="00E838B3">
        <w:rPr>
          <w:lang w:val="en-US" w:bidi="en-US"/>
        </w:rPr>
        <w:t xml:space="preserve">, </w:t>
      </w:r>
      <w:r w:rsidRPr="00413FEF">
        <w:rPr>
          <w:lang w:val="en-US" w:bidi="en-US"/>
        </w:rPr>
        <w:t>288-305.</w:t>
      </w:r>
    </w:p>
    <w:p w14:paraId="7C476C33" w14:textId="08C7023D" w:rsidR="00957B67" w:rsidRPr="00413FEF" w:rsidRDefault="00957B67" w:rsidP="00957B67">
      <w:pPr>
        <w:spacing w:line="360" w:lineRule="auto"/>
        <w:rPr>
          <w:lang w:val="en-US" w:bidi="en-US"/>
        </w:rPr>
      </w:pPr>
      <w:r w:rsidRPr="00413FEF">
        <w:rPr>
          <w:lang w:val="en-US" w:bidi="en-US"/>
        </w:rPr>
        <w:t>Kelsall, J.</w:t>
      </w:r>
      <w:r>
        <w:rPr>
          <w:lang w:val="en-US" w:bidi="en-US"/>
        </w:rPr>
        <w:t>,</w:t>
      </w:r>
      <w:r w:rsidRPr="00413FEF">
        <w:rPr>
          <w:lang w:val="en-US" w:bidi="en-US"/>
        </w:rPr>
        <w:t xml:space="preserve"> &amp; </w:t>
      </w:r>
      <w:proofErr w:type="spellStart"/>
      <w:r w:rsidRPr="00413FEF">
        <w:rPr>
          <w:lang w:val="en-US" w:bidi="en-US"/>
        </w:rPr>
        <w:t>Sorell</w:t>
      </w:r>
      <w:proofErr w:type="spellEnd"/>
      <w:r w:rsidRPr="00413FEF">
        <w:rPr>
          <w:lang w:val="en-US" w:bidi="en-US"/>
        </w:rPr>
        <w:t>, T. (2024)</w:t>
      </w:r>
      <w:r>
        <w:rPr>
          <w:lang w:val="en-US" w:bidi="en-US"/>
        </w:rPr>
        <w:t>,</w:t>
      </w:r>
      <w:r w:rsidRPr="00413FEF">
        <w:rPr>
          <w:lang w:val="en-US" w:bidi="en-US"/>
        </w:rPr>
        <w:t xml:space="preserve"> Two </w:t>
      </w:r>
      <w:r>
        <w:rPr>
          <w:lang w:val="en-US" w:bidi="en-US"/>
        </w:rPr>
        <w:t>k</w:t>
      </w:r>
      <w:r w:rsidRPr="00413FEF">
        <w:rPr>
          <w:lang w:val="en-US" w:bidi="en-US"/>
        </w:rPr>
        <w:t xml:space="preserve">inds of </w:t>
      </w:r>
      <w:r>
        <w:rPr>
          <w:lang w:val="en-US" w:bidi="en-US"/>
        </w:rPr>
        <w:t>v</w:t>
      </w:r>
      <w:r w:rsidRPr="00413FEF">
        <w:rPr>
          <w:lang w:val="en-US" w:bidi="en-US"/>
        </w:rPr>
        <w:t xml:space="preserve">accine </w:t>
      </w:r>
      <w:r>
        <w:rPr>
          <w:lang w:val="en-US" w:bidi="en-US"/>
        </w:rPr>
        <w:t>h</w:t>
      </w:r>
      <w:r w:rsidRPr="00413FEF">
        <w:rPr>
          <w:lang w:val="en-US" w:bidi="en-US"/>
        </w:rPr>
        <w:t xml:space="preserve">esitancy. </w:t>
      </w:r>
      <w:r w:rsidRPr="00413FEF">
        <w:rPr>
          <w:i/>
          <w:iCs/>
          <w:lang w:val="en-US" w:bidi="en-US"/>
        </w:rPr>
        <w:t>Social Epistemology</w:t>
      </w:r>
      <w:r>
        <w:rPr>
          <w:i/>
          <w:iCs/>
          <w:lang w:val="en-US" w:bidi="en-US"/>
        </w:rPr>
        <w:t>,</w:t>
      </w:r>
      <w:r w:rsidRPr="00413FEF">
        <w:rPr>
          <w:lang w:val="en-US" w:bidi="en-US"/>
        </w:rPr>
        <w:t xml:space="preserve"> </w:t>
      </w:r>
      <w:r w:rsidRPr="004756F6">
        <w:rPr>
          <w:i/>
          <w:lang w:val="en-US" w:bidi="en-US"/>
        </w:rPr>
        <w:t>39</w:t>
      </w:r>
      <w:r w:rsidRPr="00413FEF">
        <w:rPr>
          <w:lang w:val="en-US" w:bidi="en-US"/>
        </w:rPr>
        <w:t>(1)</w:t>
      </w:r>
      <w:r>
        <w:rPr>
          <w:lang w:val="en-US" w:bidi="en-US"/>
        </w:rPr>
        <w:t xml:space="preserve">, </w:t>
      </w:r>
      <w:r w:rsidRPr="00413FEF">
        <w:rPr>
          <w:lang w:val="en-US" w:bidi="en-US"/>
        </w:rPr>
        <w:t xml:space="preserve">40-55. </w:t>
      </w:r>
    </w:p>
    <w:p w14:paraId="233CB5D5" w14:textId="42AC5EEF" w:rsidR="00887227" w:rsidRPr="00413FEF" w:rsidRDefault="00887227" w:rsidP="00947ED3">
      <w:pPr>
        <w:spacing w:line="360" w:lineRule="auto"/>
        <w:rPr>
          <w:lang w:val="en-US" w:bidi="en-US"/>
        </w:rPr>
      </w:pPr>
      <w:r w:rsidRPr="00413FEF">
        <w:rPr>
          <w:lang w:val="en-US" w:bidi="en-US"/>
        </w:rPr>
        <w:t xml:space="preserve">Koskinen, </w:t>
      </w:r>
      <w:r w:rsidR="008B3ABF" w:rsidRPr="00413FEF">
        <w:rPr>
          <w:lang w:val="en-US" w:bidi="en-US"/>
        </w:rPr>
        <w:t xml:space="preserve">I. </w:t>
      </w:r>
      <w:r w:rsidRPr="00413FEF">
        <w:rPr>
          <w:lang w:val="en-US" w:bidi="en-US"/>
        </w:rPr>
        <w:t>(2020)</w:t>
      </w:r>
      <w:r w:rsidR="00394DEF">
        <w:rPr>
          <w:lang w:val="en-US" w:bidi="en-US"/>
        </w:rPr>
        <w:t>.</w:t>
      </w:r>
      <w:r w:rsidRPr="00413FEF">
        <w:rPr>
          <w:lang w:val="en-US" w:bidi="en-US"/>
        </w:rPr>
        <w:t xml:space="preserve"> Defending a </w:t>
      </w:r>
      <w:r w:rsidR="00957B67">
        <w:rPr>
          <w:lang w:val="en-US" w:bidi="en-US"/>
        </w:rPr>
        <w:t>r</w:t>
      </w:r>
      <w:r w:rsidRPr="00413FEF">
        <w:rPr>
          <w:lang w:val="en-US" w:bidi="en-US"/>
        </w:rPr>
        <w:t xml:space="preserve">isk </w:t>
      </w:r>
      <w:r w:rsidR="00957B67">
        <w:rPr>
          <w:lang w:val="en-US" w:bidi="en-US"/>
        </w:rPr>
        <w:t>a</w:t>
      </w:r>
      <w:r w:rsidRPr="00413FEF">
        <w:rPr>
          <w:lang w:val="en-US" w:bidi="en-US"/>
        </w:rPr>
        <w:t xml:space="preserve">ccount of </w:t>
      </w:r>
      <w:r w:rsidR="00957B67">
        <w:rPr>
          <w:lang w:val="en-US" w:bidi="en-US"/>
        </w:rPr>
        <w:t>s</w:t>
      </w:r>
      <w:r w:rsidRPr="00413FEF">
        <w:rPr>
          <w:lang w:val="en-US" w:bidi="en-US"/>
        </w:rPr>
        <w:t xml:space="preserve">cientific </w:t>
      </w:r>
      <w:r w:rsidR="00957B67">
        <w:rPr>
          <w:lang w:val="en-US" w:bidi="en-US"/>
        </w:rPr>
        <w:t>o</w:t>
      </w:r>
      <w:r w:rsidRPr="00413FEF">
        <w:rPr>
          <w:lang w:val="en-US" w:bidi="en-US"/>
        </w:rPr>
        <w:t xml:space="preserve">bjectivity. </w:t>
      </w:r>
      <w:r w:rsidRPr="00413FEF">
        <w:rPr>
          <w:i/>
          <w:iCs/>
          <w:lang w:val="en-US" w:bidi="en-US"/>
        </w:rPr>
        <w:t>British Journal for the Philosophy of Science</w:t>
      </w:r>
      <w:r w:rsidRPr="00413FEF">
        <w:rPr>
          <w:lang w:val="en-US" w:bidi="en-US"/>
        </w:rPr>
        <w:t xml:space="preserve"> </w:t>
      </w:r>
      <w:r w:rsidRPr="004756F6">
        <w:rPr>
          <w:i/>
          <w:lang w:val="en-US" w:bidi="en-US"/>
        </w:rPr>
        <w:t>71</w:t>
      </w:r>
      <w:r w:rsidRPr="00413FEF">
        <w:rPr>
          <w:lang w:val="en-US" w:bidi="en-US"/>
        </w:rPr>
        <w:t>(4)</w:t>
      </w:r>
      <w:r w:rsidR="00957B67">
        <w:rPr>
          <w:lang w:val="en-US" w:bidi="en-US"/>
        </w:rPr>
        <w:t>,</w:t>
      </w:r>
      <w:r w:rsidRPr="00413FEF">
        <w:rPr>
          <w:lang w:val="en-US" w:bidi="en-US"/>
        </w:rPr>
        <w:t xml:space="preserve"> 1187–1207. https://doi.org/10.1093/bjps/axy053.</w:t>
      </w:r>
    </w:p>
    <w:p w14:paraId="26AC88E4" w14:textId="77777777" w:rsidR="00957B67" w:rsidRPr="00413FEF" w:rsidRDefault="00957B67" w:rsidP="00957B67">
      <w:pPr>
        <w:spacing w:line="360" w:lineRule="auto"/>
        <w:rPr>
          <w:lang w:val="en-US" w:bidi="en-US"/>
        </w:rPr>
      </w:pPr>
      <w:r w:rsidRPr="00413FEF">
        <w:rPr>
          <w:lang w:val="en-US" w:bidi="en-US"/>
        </w:rPr>
        <w:t>Kitcher, P. (2011)</w:t>
      </w:r>
      <w:r>
        <w:rPr>
          <w:lang w:val="en-US" w:bidi="en-US"/>
        </w:rPr>
        <w:t>.</w:t>
      </w:r>
      <w:r w:rsidRPr="00413FEF">
        <w:rPr>
          <w:lang w:val="en-US" w:bidi="en-US"/>
        </w:rPr>
        <w:t xml:space="preserve"> </w:t>
      </w:r>
      <w:r w:rsidRPr="00413FEF">
        <w:rPr>
          <w:i/>
          <w:iCs/>
          <w:lang w:val="en-US" w:bidi="en-US"/>
        </w:rPr>
        <w:t xml:space="preserve">Science in a </w:t>
      </w:r>
      <w:r>
        <w:rPr>
          <w:i/>
          <w:iCs/>
          <w:lang w:val="en-US" w:bidi="en-US"/>
        </w:rPr>
        <w:t>d</w:t>
      </w:r>
      <w:r w:rsidRPr="00413FEF">
        <w:rPr>
          <w:i/>
          <w:iCs/>
          <w:lang w:val="en-US" w:bidi="en-US"/>
        </w:rPr>
        <w:t xml:space="preserve">emocratic </w:t>
      </w:r>
      <w:r>
        <w:rPr>
          <w:i/>
          <w:iCs/>
          <w:lang w:val="en-US" w:bidi="en-US"/>
        </w:rPr>
        <w:t>s</w:t>
      </w:r>
      <w:r w:rsidRPr="00413FEF">
        <w:rPr>
          <w:i/>
          <w:iCs/>
          <w:lang w:val="en-US" w:bidi="en-US"/>
        </w:rPr>
        <w:t>ociety</w:t>
      </w:r>
      <w:r w:rsidRPr="00413FEF">
        <w:rPr>
          <w:lang w:val="en-US" w:bidi="en-US"/>
        </w:rPr>
        <w:t>. Prometheus.</w:t>
      </w:r>
    </w:p>
    <w:p w14:paraId="6B187BCD" w14:textId="0557118B" w:rsidR="00887227" w:rsidRPr="00413FEF" w:rsidRDefault="00887227" w:rsidP="00947ED3">
      <w:pPr>
        <w:spacing w:line="360" w:lineRule="auto"/>
        <w:rPr>
          <w:lang w:val="en-US" w:bidi="en-US"/>
        </w:rPr>
      </w:pPr>
      <w:r w:rsidRPr="00413FEF">
        <w:rPr>
          <w:lang w:val="en-US" w:bidi="en-US"/>
        </w:rPr>
        <w:t xml:space="preserve">Krishnamurthy, </w:t>
      </w:r>
      <w:r w:rsidR="008B3ABF" w:rsidRPr="00413FEF">
        <w:rPr>
          <w:lang w:val="en-US" w:bidi="en-US"/>
        </w:rPr>
        <w:t xml:space="preserve">M. </w:t>
      </w:r>
      <w:r w:rsidRPr="00413FEF">
        <w:rPr>
          <w:lang w:val="en-US" w:bidi="en-US"/>
        </w:rPr>
        <w:t>(2015)</w:t>
      </w:r>
      <w:r w:rsidR="00D92CE2">
        <w:rPr>
          <w:lang w:val="en-US" w:bidi="en-US"/>
        </w:rPr>
        <w:t>.</w:t>
      </w:r>
      <w:r w:rsidRPr="00413FEF">
        <w:rPr>
          <w:lang w:val="en-US" w:bidi="en-US"/>
        </w:rPr>
        <w:t xml:space="preserve"> Tyranny and the </w:t>
      </w:r>
      <w:r w:rsidR="00D92CE2">
        <w:rPr>
          <w:lang w:val="en-US" w:bidi="en-US"/>
        </w:rPr>
        <w:t>d</w:t>
      </w:r>
      <w:r w:rsidRPr="00413FEF">
        <w:rPr>
          <w:lang w:val="en-US" w:bidi="en-US"/>
        </w:rPr>
        <w:t xml:space="preserve">emocratic </w:t>
      </w:r>
      <w:r w:rsidR="00D92CE2">
        <w:rPr>
          <w:lang w:val="en-US" w:bidi="en-US"/>
        </w:rPr>
        <w:t>v</w:t>
      </w:r>
      <w:r w:rsidRPr="00413FEF">
        <w:rPr>
          <w:lang w:val="en-US" w:bidi="en-US"/>
        </w:rPr>
        <w:t xml:space="preserve">alue of </w:t>
      </w:r>
      <w:r w:rsidR="00D92CE2">
        <w:rPr>
          <w:lang w:val="en-US" w:bidi="en-US"/>
        </w:rPr>
        <w:t>d</w:t>
      </w:r>
      <w:r w:rsidRPr="00413FEF">
        <w:rPr>
          <w:lang w:val="en-US" w:bidi="en-US"/>
        </w:rPr>
        <w:t xml:space="preserve">istrust. </w:t>
      </w:r>
      <w:r w:rsidRPr="00413FEF">
        <w:rPr>
          <w:i/>
          <w:iCs/>
          <w:lang w:val="en-US" w:bidi="en-US"/>
        </w:rPr>
        <w:t>The Monist</w:t>
      </w:r>
      <w:r w:rsidR="00D92CE2">
        <w:rPr>
          <w:i/>
          <w:iCs/>
          <w:lang w:val="en-US" w:bidi="en-US"/>
        </w:rPr>
        <w:t>,</w:t>
      </w:r>
      <w:r w:rsidRPr="00413FEF">
        <w:rPr>
          <w:lang w:val="en-US" w:bidi="en-US"/>
        </w:rPr>
        <w:t xml:space="preserve"> </w:t>
      </w:r>
      <w:r w:rsidRPr="004756F6">
        <w:rPr>
          <w:i/>
          <w:lang w:val="en-US" w:bidi="en-US"/>
        </w:rPr>
        <w:t>98</w:t>
      </w:r>
      <w:r w:rsidRPr="00413FEF">
        <w:rPr>
          <w:lang w:val="en-US" w:bidi="en-US"/>
        </w:rPr>
        <w:t>(4)</w:t>
      </w:r>
      <w:r w:rsidR="00D92CE2">
        <w:rPr>
          <w:lang w:val="en-US" w:bidi="en-US"/>
        </w:rPr>
        <w:t>,</w:t>
      </w:r>
      <w:r w:rsidRPr="00413FEF">
        <w:rPr>
          <w:lang w:val="en-US" w:bidi="en-US"/>
        </w:rPr>
        <w:t xml:space="preserve"> 391–406. https://doi.org/10.1093/monist/onv020</w:t>
      </w:r>
    </w:p>
    <w:p w14:paraId="255255FE" w14:textId="78A74E0F" w:rsidR="00887227" w:rsidRPr="00413FEF" w:rsidRDefault="00887227" w:rsidP="00947ED3">
      <w:pPr>
        <w:spacing w:line="360" w:lineRule="auto"/>
        <w:rPr>
          <w:lang w:val="en-US" w:bidi="en-US"/>
        </w:rPr>
      </w:pPr>
      <w:r w:rsidRPr="00413FEF">
        <w:rPr>
          <w:lang w:val="en-US" w:bidi="en-US"/>
        </w:rPr>
        <w:t xml:space="preserve">Kruger, J., </w:t>
      </w:r>
      <w:r w:rsidR="005A7530">
        <w:rPr>
          <w:lang w:val="en-US" w:bidi="en-US"/>
        </w:rPr>
        <w:t xml:space="preserve">&amp; </w:t>
      </w:r>
      <w:r w:rsidRPr="00413FEF">
        <w:rPr>
          <w:lang w:val="en-US" w:bidi="en-US"/>
        </w:rPr>
        <w:t xml:space="preserve">Dunning, D. (1999) Unskilled and </w:t>
      </w:r>
      <w:r w:rsidR="00B90C23">
        <w:rPr>
          <w:lang w:val="en-US" w:bidi="en-US"/>
        </w:rPr>
        <w:t>u</w:t>
      </w:r>
      <w:r w:rsidRPr="00413FEF">
        <w:rPr>
          <w:lang w:val="en-US" w:bidi="en-US"/>
        </w:rPr>
        <w:t xml:space="preserve">naware of </w:t>
      </w:r>
      <w:r w:rsidR="00B90C23">
        <w:rPr>
          <w:lang w:val="en-US" w:bidi="en-US"/>
        </w:rPr>
        <w:t>i</w:t>
      </w:r>
      <w:r w:rsidRPr="00413FEF">
        <w:rPr>
          <w:lang w:val="en-US" w:bidi="en-US"/>
        </w:rPr>
        <w:t xml:space="preserve">t: How </w:t>
      </w:r>
      <w:r w:rsidR="00B90C23">
        <w:rPr>
          <w:lang w:val="en-US" w:bidi="en-US"/>
        </w:rPr>
        <w:t>d</w:t>
      </w:r>
      <w:r w:rsidRPr="00413FEF">
        <w:rPr>
          <w:lang w:val="en-US" w:bidi="en-US"/>
        </w:rPr>
        <w:t xml:space="preserve">ifficulties in </w:t>
      </w:r>
      <w:r w:rsidR="00B90C23">
        <w:rPr>
          <w:lang w:val="en-US" w:bidi="en-US"/>
        </w:rPr>
        <w:t>r</w:t>
      </w:r>
      <w:r w:rsidRPr="00413FEF">
        <w:rPr>
          <w:lang w:val="en-US" w:bidi="en-US"/>
        </w:rPr>
        <w:t xml:space="preserve">ecognizing </w:t>
      </w:r>
      <w:r w:rsidR="00B90C23">
        <w:rPr>
          <w:lang w:val="en-US" w:bidi="en-US"/>
        </w:rPr>
        <w:t>o</w:t>
      </w:r>
      <w:r w:rsidRPr="00413FEF">
        <w:rPr>
          <w:lang w:val="en-US" w:bidi="en-US"/>
        </w:rPr>
        <w:t xml:space="preserve">ne’s </w:t>
      </w:r>
      <w:r w:rsidR="00B90C23">
        <w:rPr>
          <w:lang w:val="en-US" w:bidi="en-US"/>
        </w:rPr>
        <w:t>o</w:t>
      </w:r>
      <w:r w:rsidRPr="00413FEF">
        <w:rPr>
          <w:lang w:val="en-US" w:bidi="en-US"/>
        </w:rPr>
        <w:t xml:space="preserve">wn </w:t>
      </w:r>
      <w:r w:rsidR="00B90C23">
        <w:rPr>
          <w:lang w:val="en-US" w:bidi="en-US"/>
        </w:rPr>
        <w:t>i</w:t>
      </w:r>
      <w:r w:rsidRPr="00413FEF">
        <w:rPr>
          <w:lang w:val="en-US" w:bidi="en-US"/>
        </w:rPr>
        <w:t xml:space="preserve">ncompetence </w:t>
      </w:r>
      <w:proofErr w:type="gramStart"/>
      <w:r w:rsidR="00B90C23">
        <w:rPr>
          <w:lang w:val="en-US" w:bidi="en-US"/>
        </w:rPr>
        <w:t>l</w:t>
      </w:r>
      <w:r w:rsidRPr="00413FEF">
        <w:rPr>
          <w:lang w:val="en-US" w:bidi="en-US"/>
        </w:rPr>
        <w:t>ead</w:t>
      </w:r>
      <w:proofErr w:type="gramEnd"/>
      <w:r w:rsidRPr="00413FEF">
        <w:rPr>
          <w:lang w:val="en-US" w:bidi="en-US"/>
        </w:rPr>
        <w:t xml:space="preserve"> to </w:t>
      </w:r>
      <w:r w:rsidR="00B90C23">
        <w:rPr>
          <w:lang w:val="en-US" w:bidi="en-US"/>
        </w:rPr>
        <w:t>i</w:t>
      </w:r>
      <w:r w:rsidRPr="00413FEF">
        <w:rPr>
          <w:lang w:val="en-US" w:bidi="en-US"/>
        </w:rPr>
        <w:t xml:space="preserve">nflated </w:t>
      </w:r>
      <w:r w:rsidR="00B90C23">
        <w:rPr>
          <w:lang w:val="en-US" w:bidi="en-US"/>
        </w:rPr>
        <w:t>s</w:t>
      </w:r>
      <w:r w:rsidRPr="00413FEF">
        <w:rPr>
          <w:lang w:val="en-US" w:bidi="en-US"/>
        </w:rPr>
        <w:t>elf-</w:t>
      </w:r>
      <w:proofErr w:type="spellStart"/>
      <w:r w:rsidR="00B90C23">
        <w:rPr>
          <w:lang w:val="en-US" w:bidi="en-US"/>
        </w:rPr>
        <w:t>s</w:t>
      </w:r>
      <w:r w:rsidRPr="00413FEF">
        <w:rPr>
          <w:lang w:val="en-US" w:bidi="en-US"/>
        </w:rPr>
        <w:t>ssessments</w:t>
      </w:r>
      <w:proofErr w:type="spellEnd"/>
      <w:r w:rsidRPr="00413FEF">
        <w:rPr>
          <w:lang w:val="en-US" w:bidi="en-US"/>
        </w:rPr>
        <w:t xml:space="preserve">. </w:t>
      </w:r>
      <w:r w:rsidRPr="004756F6">
        <w:rPr>
          <w:i/>
          <w:lang w:val="en-US" w:bidi="en-US"/>
        </w:rPr>
        <w:t>Journal of Personality and Social Psychology</w:t>
      </w:r>
      <w:r w:rsidRPr="00413FEF">
        <w:rPr>
          <w:lang w:val="en-US" w:bidi="en-US"/>
        </w:rPr>
        <w:t xml:space="preserve">, </w:t>
      </w:r>
      <w:r w:rsidRPr="004756F6">
        <w:rPr>
          <w:i/>
          <w:lang w:val="en-US" w:bidi="en-US"/>
        </w:rPr>
        <w:t>77</w:t>
      </w:r>
      <w:r w:rsidRPr="00413FEF">
        <w:rPr>
          <w:lang w:val="en-US" w:bidi="en-US"/>
        </w:rPr>
        <w:t>(6), 1121-1134.</w:t>
      </w:r>
    </w:p>
    <w:p w14:paraId="62B9C81D" w14:textId="7428DFE5" w:rsidR="00887227" w:rsidRPr="00413FEF" w:rsidRDefault="00887227" w:rsidP="00947ED3">
      <w:pPr>
        <w:spacing w:line="360" w:lineRule="auto"/>
        <w:rPr>
          <w:lang w:val="en-US" w:bidi="en-US"/>
        </w:rPr>
      </w:pPr>
      <w:r w:rsidRPr="00413FEF">
        <w:rPr>
          <w:lang w:val="en-US" w:bidi="en-US"/>
        </w:rPr>
        <w:t xml:space="preserve">Kuhn, </w:t>
      </w:r>
      <w:r w:rsidR="006F7251" w:rsidRPr="00413FEF">
        <w:rPr>
          <w:lang w:val="en-US" w:bidi="en-US"/>
        </w:rPr>
        <w:t xml:space="preserve">T. </w:t>
      </w:r>
      <w:r w:rsidRPr="00413FEF">
        <w:rPr>
          <w:lang w:val="en-US" w:bidi="en-US"/>
        </w:rPr>
        <w:t>S. (1977)</w:t>
      </w:r>
      <w:r w:rsidR="009007C0">
        <w:rPr>
          <w:lang w:val="en-US" w:bidi="en-US"/>
        </w:rPr>
        <w:t>.</w:t>
      </w:r>
      <w:r w:rsidRPr="00413FEF">
        <w:rPr>
          <w:lang w:val="en-US" w:bidi="en-US"/>
        </w:rPr>
        <w:t xml:space="preserve"> Objectivity, </w:t>
      </w:r>
      <w:r w:rsidR="00332A83">
        <w:rPr>
          <w:lang w:val="en-US" w:bidi="en-US"/>
        </w:rPr>
        <w:t>v</w:t>
      </w:r>
      <w:r w:rsidRPr="00413FEF">
        <w:rPr>
          <w:lang w:val="en-US" w:bidi="en-US"/>
        </w:rPr>
        <w:t xml:space="preserve">alue </w:t>
      </w:r>
      <w:r w:rsidR="00332A83">
        <w:rPr>
          <w:lang w:val="en-US" w:bidi="en-US"/>
        </w:rPr>
        <w:t>j</w:t>
      </w:r>
      <w:r w:rsidRPr="00413FEF">
        <w:rPr>
          <w:lang w:val="en-US" w:bidi="en-US"/>
        </w:rPr>
        <w:t xml:space="preserve">udgment, and </w:t>
      </w:r>
      <w:r w:rsidR="00332A83">
        <w:rPr>
          <w:lang w:val="en-US" w:bidi="en-US"/>
        </w:rPr>
        <w:t>t</w:t>
      </w:r>
      <w:r w:rsidRPr="00413FEF">
        <w:rPr>
          <w:lang w:val="en-US" w:bidi="en-US"/>
        </w:rPr>
        <w:t xml:space="preserve">heory </w:t>
      </w:r>
      <w:r w:rsidR="00332A83">
        <w:rPr>
          <w:lang w:val="en-US" w:bidi="en-US"/>
        </w:rPr>
        <w:t>c</w:t>
      </w:r>
      <w:r w:rsidRPr="00413FEF">
        <w:rPr>
          <w:lang w:val="en-US" w:bidi="en-US"/>
        </w:rPr>
        <w:t xml:space="preserve">hoice. In </w:t>
      </w:r>
      <w:r w:rsidRPr="004756F6">
        <w:rPr>
          <w:i/>
          <w:lang w:val="en-US" w:bidi="en-US"/>
        </w:rPr>
        <w:t xml:space="preserve">The </w:t>
      </w:r>
      <w:r w:rsidR="00332A83">
        <w:rPr>
          <w:i/>
          <w:lang w:val="en-US" w:bidi="en-US"/>
        </w:rPr>
        <w:t>e</w:t>
      </w:r>
      <w:r w:rsidRPr="004756F6">
        <w:rPr>
          <w:i/>
          <w:lang w:val="en-US" w:bidi="en-US"/>
        </w:rPr>
        <w:t xml:space="preserve">ssential </w:t>
      </w:r>
      <w:r w:rsidR="00332A83">
        <w:rPr>
          <w:i/>
          <w:lang w:val="en-US" w:bidi="en-US"/>
        </w:rPr>
        <w:t>t</w:t>
      </w:r>
      <w:r w:rsidRPr="004756F6">
        <w:rPr>
          <w:i/>
          <w:lang w:val="en-US" w:bidi="en-US"/>
        </w:rPr>
        <w:t xml:space="preserve">ension: Selected </w:t>
      </w:r>
      <w:r w:rsidR="00332A83">
        <w:rPr>
          <w:i/>
          <w:lang w:val="en-US" w:bidi="en-US"/>
        </w:rPr>
        <w:t>s</w:t>
      </w:r>
      <w:r w:rsidRPr="004756F6">
        <w:rPr>
          <w:i/>
          <w:lang w:val="en-US" w:bidi="en-US"/>
        </w:rPr>
        <w:t xml:space="preserve">tudies in </w:t>
      </w:r>
      <w:r w:rsidR="00332A83">
        <w:rPr>
          <w:i/>
          <w:lang w:val="en-US" w:bidi="en-US"/>
        </w:rPr>
        <w:t>s</w:t>
      </w:r>
      <w:r w:rsidRPr="004756F6">
        <w:rPr>
          <w:i/>
          <w:lang w:val="en-US" w:bidi="en-US"/>
        </w:rPr>
        <w:t xml:space="preserve">cientific </w:t>
      </w:r>
      <w:r w:rsidR="00332A83">
        <w:rPr>
          <w:i/>
          <w:lang w:val="en-US" w:bidi="en-US"/>
        </w:rPr>
        <w:t>t</w:t>
      </w:r>
      <w:r w:rsidRPr="004756F6">
        <w:rPr>
          <w:i/>
          <w:lang w:val="en-US" w:bidi="en-US"/>
        </w:rPr>
        <w:t xml:space="preserve">radition and </w:t>
      </w:r>
      <w:r w:rsidR="00332A83">
        <w:rPr>
          <w:i/>
          <w:lang w:val="en-US" w:bidi="en-US"/>
        </w:rPr>
        <w:t>c</w:t>
      </w:r>
      <w:r w:rsidRPr="004756F6">
        <w:rPr>
          <w:i/>
          <w:lang w:val="en-US" w:bidi="en-US"/>
        </w:rPr>
        <w:t>hange</w:t>
      </w:r>
      <w:r w:rsidRPr="00413FEF">
        <w:rPr>
          <w:lang w:val="en-US" w:bidi="en-US"/>
        </w:rPr>
        <w:t xml:space="preserve"> </w:t>
      </w:r>
      <w:r w:rsidR="00332A83">
        <w:rPr>
          <w:lang w:val="en-US" w:bidi="en-US"/>
        </w:rPr>
        <w:t xml:space="preserve">(pp. </w:t>
      </w:r>
      <w:r w:rsidRPr="00413FEF">
        <w:rPr>
          <w:lang w:val="en-US" w:bidi="en-US"/>
        </w:rPr>
        <w:t>320–39</w:t>
      </w:r>
      <w:r w:rsidR="00332A83">
        <w:rPr>
          <w:lang w:val="en-US" w:bidi="en-US"/>
        </w:rPr>
        <w:t>)</w:t>
      </w:r>
      <w:r w:rsidRPr="00413FEF">
        <w:rPr>
          <w:lang w:val="en-US" w:bidi="en-US"/>
        </w:rPr>
        <w:t>. University of Chicago Press.</w:t>
      </w:r>
    </w:p>
    <w:p w14:paraId="0C3EEE62" w14:textId="752030E6" w:rsidR="00887227" w:rsidRPr="00413FEF" w:rsidRDefault="00887227" w:rsidP="00887227">
      <w:pPr>
        <w:spacing w:line="360" w:lineRule="auto"/>
        <w:rPr>
          <w:lang w:val="en-US"/>
        </w:rPr>
      </w:pPr>
      <w:r w:rsidRPr="00413FEF">
        <w:rPr>
          <w:lang w:val="en-US"/>
        </w:rPr>
        <w:t>Lackey, J. (2018)</w:t>
      </w:r>
      <w:r w:rsidR="007A05B4">
        <w:rPr>
          <w:lang w:val="en-US"/>
        </w:rPr>
        <w:t>.</w:t>
      </w:r>
      <w:r w:rsidRPr="00413FEF">
        <w:rPr>
          <w:lang w:val="en-US"/>
        </w:rPr>
        <w:t xml:space="preserve"> Experts and </w:t>
      </w:r>
      <w:r w:rsidR="007A05B4">
        <w:rPr>
          <w:lang w:val="en-US"/>
        </w:rPr>
        <w:t>p</w:t>
      </w:r>
      <w:r w:rsidRPr="00413FEF">
        <w:rPr>
          <w:lang w:val="en-US"/>
        </w:rPr>
        <w:t xml:space="preserve">eer </w:t>
      </w:r>
      <w:proofErr w:type="spellStart"/>
      <w:proofErr w:type="gramStart"/>
      <w:r w:rsidR="007A05B4">
        <w:rPr>
          <w:lang w:val="en-US"/>
        </w:rPr>
        <w:t>d</w:t>
      </w:r>
      <w:r w:rsidRPr="00413FEF">
        <w:rPr>
          <w:lang w:val="en-US"/>
        </w:rPr>
        <w:t>isagreement</w:t>
      </w:r>
      <w:r w:rsidR="007A05B4">
        <w:rPr>
          <w:lang w:val="en-US"/>
        </w:rPr>
        <w:t>.I</w:t>
      </w:r>
      <w:proofErr w:type="spellEnd"/>
      <w:proofErr w:type="gramEnd"/>
      <w:r w:rsidR="007A05B4">
        <w:rPr>
          <w:lang w:val="en-US"/>
        </w:rPr>
        <w:t xml:space="preserve"> I</w:t>
      </w:r>
      <w:r w:rsidRPr="00413FEF">
        <w:rPr>
          <w:lang w:val="en-US"/>
        </w:rPr>
        <w:t xml:space="preserve">n M. Benton, J. Hawthorne, </w:t>
      </w:r>
      <w:r w:rsidR="007A05B4">
        <w:rPr>
          <w:lang w:val="en-US"/>
        </w:rPr>
        <w:t>&amp;</w:t>
      </w:r>
      <w:r w:rsidR="007A05B4" w:rsidRPr="00413FEF">
        <w:rPr>
          <w:lang w:val="en-US"/>
        </w:rPr>
        <w:t xml:space="preserve"> </w:t>
      </w:r>
      <w:r w:rsidRPr="00413FEF">
        <w:rPr>
          <w:lang w:val="en-US"/>
        </w:rPr>
        <w:t>D. Rabinowitz (</w:t>
      </w:r>
      <w:r w:rsidR="007A05B4">
        <w:rPr>
          <w:lang w:val="en-US"/>
        </w:rPr>
        <w:t>E</w:t>
      </w:r>
      <w:r w:rsidRPr="00413FEF">
        <w:rPr>
          <w:lang w:val="en-US"/>
        </w:rPr>
        <w:t>ds.)</w:t>
      </w:r>
      <w:r w:rsidR="007A05B4">
        <w:rPr>
          <w:lang w:val="en-US"/>
        </w:rPr>
        <w:t>.</w:t>
      </w:r>
      <w:r w:rsidRPr="00413FEF">
        <w:rPr>
          <w:lang w:val="en-US"/>
        </w:rPr>
        <w:t xml:space="preserve"> </w:t>
      </w:r>
      <w:r w:rsidRPr="00413FEF">
        <w:rPr>
          <w:i/>
          <w:lang w:val="en-US"/>
        </w:rPr>
        <w:t xml:space="preserve">Knowledge, </w:t>
      </w:r>
      <w:r w:rsidR="007A05B4">
        <w:rPr>
          <w:i/>
          <w:lang w:val="en-US"/>
        </w:rPr>
        <w:t>b</w:t>
      </w:r>
      <w:r w:rsidRPr="00413FEF">
        <w:rPr>
          <w:i/>
          <w:lang w:val="en-US"/>
        </w:rPr>
        <w:t xml:space="preserve">elief, and God: New </w:t>
      </w:r>
      <w:r w:rsidR="007A05B4">
        <w:rPr>
          <w:i/>
          <w:lang w:val="en-US"/>
        </w:rPr>
        <w:t>i</w:t>
      </w:r>
      <w:r w:rsidRPr="00413FEF">
        <w:rPr>
          <w:i/>
          <w:lang w:val="en-US"/>
        </w:rPr>
        <w:t xml:space="preserve">nsights in </w:t>
      </w:r>
      <w:r w:rsidR="007A05B4">
        <w:rPr>
          <w:i/>
          <w:lang w:val="en-US"/>
        </w:rPr>
        <w:t>r</w:t>
      </w:r>
      <w:r w:rsidRPr="00413FEF">
        <w:rPr>
          <w:i/>
          <w:lang w:val="en-US"/>
        </w:rPr>
        <w:t xml:space="preserve">eligious </w:t>
      </w:r>
      <w:r w:rsidR="007A05B4">
        <w:rPr>
          <w:i/>
          <w:lang w:val="en-US"/>
        </w:rPr>
        <w:t>e</w:t>
      </w:r>
      <w:r w:rsidRPr="00413FEF">
        <w:rPr>
          <w:i/>
          <w:lang w:val="en-US"/>
        </w:rPr>
        <w:t>pistemology</w:t>
      </w:r>
      <w:r w:rsidRPr="00413FEF">
        <w:rPr>
          <w:lang w:val="en-US"/>
        </w:rPr>
        <w:t xml:space="preserve"> </w:t>
      </w:r>
      <w:r w:rsidR="007A05B4">
        <w:rPr>
          <w:lang w:val="en-US"/>
        </w:rPr>
        <w:t xml:space="preserve">(pp. </w:t>
      </w:r>
      <w:r w:rsidRPr="00413FEF">
        <w:rPr>
          <w:lang w:val="en-US"/>
        </w:rPr>
        <w:t>228-45</w:t>
      </w:r>
      <w:r w:rsidR="007A05B4">
        <w:rPr>
          <w:lang w:val="en-US"/>
        </w:rPr>
        <w:t>)</w:t>
      </w:r>
      <w:r w:rsidRPr="00413FEF">
        <w:rPr>
          <w:lang w:val="en-US"/>
        </w:rPr>
        <w:t>. Oxford University Press.</w:t>
      </w:r>
    </w:p>
    <w:p w14:paraId="2BD267E7" w14:textId="682D4435" w:rsidR="00887227" w:rsidRPr="00413FEF" w:rsidRDefault="00887227" w:rsidP="00947ED3">
      <w:pPr>
        <w:spacing w:line="360" w:lineRule="auto"/>
        <w:rPr>
          <w:lang w:val="en-US" w:bidi="en-US"/>
        </w:rPr>
      </w:pPr>
      <w:r w:rsidRPr="00413FEF">
        <w:rPr>
          <w:lang w:val="en-US" w:bidi="en-US"/>
        </w:rPr>
        <w:t>Levy, N. (2019)</w:t>
      </w:r>
      <w:r w:rsidR="0087574D">
        <w:rPr>
          <w:lang w:val="en-US" w:bidi="en-US"/>
        </w:rPr>
        <w:t>.</w:t>
      </w:r>
      <w:r w:rsidRPr="00413FEF">
        <w:rPr>
          <w:lang w:val="en-US" w:bidi="en-US"/>
        </w:rPr>
        <w:t xml:space="preserve"> Due </w:t>
      </w:r>
      <w:r w:rsidR="0087574D">
        <w:rPr>
          <w:lang w:val="en-US" w:bidi="en-US"/>
        </w:rPr>
        <w:t>d</w:t>
      </w:r>
      <w:r w:rsidRPr="00413FEF">
        <w:rPr>
          <w:lang w:val="en-US" w:bidi="en-US"/>
        </w:rPr>
        <w:t xml:space="preserve">eference to </w:t>
      </w:r>
      <w:r w:rsidR="0087574D">
        <w:rPr>
          <w:lang w:val="en-US" w:bidi="en-US"/>
        </w:rPr>
        <w:t>d</w:t>
      </w:r>
      <w:r w:rsidRPr="00413FEF">
        <w:rPr>
          <w:lang w:val="en-US" w:bidi="en-US"/>
        </w:rPr>
        <w:t xml:space="preserve">enialism: Explaining </w:t>
      </w:r>
      <w:r w:rsidR="0087574D">
        <w:rPr>
          <w:lang w:val="en-US" w:bidi="en-US"/>
        </w:rPr>
        <w:t>o</w:t>
      </w:r>
      <w:r w:rsidRPr="00413FEF">
        <w:rPr>
          <w:lang w:val="en-US" w:bidi="en-US"/>
        </w:rPr>
        <w:t xml:space="preserve">rdinary </w:t>
      </w:r>
      <w:r w:rsidR="0087574D">
        <w:rPr>
          <w:lang w:val="en-US" w:bidi="en-US"/>
        </w:rPr>
        <w:t>p</w:t>
      </w:r>
      <w:r w:rsidRPr="00413FEF">
        <w:rPr>
          <w:lang w:val="en-US" w:bidi="en-US"/>
        </w:rPr>
        <w:t xml:space="preserve">eople’s </w:t>
      </w:r>
      <w:r w:rsidR="0087574D">
        <w:rPr>
          <w:lang w:val="en-US" w:bidi="en-US"/>
        </w:rPr>
        <w:t>r</w:t>
      </w:r>
      <w:r w:rsidRPr="00413FEF">
        <w:rPr>
          <w:lang w:val="en-US" w:bidi="en-US"/>
        </w:rPr>
        <w:t xml:space="preserve">ejection of </w:t>
      </w:r>
      <w:r w:rsidR="0087574D">
        <w:rPr>
          <w:lang w:val="en-US" w:bidi="en-US"/>
        </w:rPr>
        <w:t>e</w:t>
      </w:r>
      <w:r w:rsidRPr="00413FEF">
        <w:rPr>
          <w:lang w:val="en-US" w:bidi="en-US"/>
        </w:rPr>
        <w:t xml:space="preserve">stablished </w:t>
      </w:r>
      <w:r w:rsidR="0087574D">
        <w:rPr>
          <w:lang w:val="en-US" w:bidi="en-US"/>
        </w:rPr>
        <w:t>s</w:t>
      </w:r>
      <w:r w:rsidRPr="00413FEF">
        <w:rPr>
          <w:lang w:val="en-US" w:bidi="en-US"/>
        </w:rPr>
        <w:t xml:space="preserve">cientific </w:t>
      </w:r>
      <w:r w:rsidR="0087574D">
        <w:rPr>
          <w:lang w:val="en-US" w:bidi="en-US"/>
        </w:rPr>
        <w:t>f</w:t>
      </w:r>
      <w:r w:rsidRPr="00413FEF">
        <w:rPr>
          <w:lang w:val="en-US" w:bidi="en-US"/>
        </w:rPr>
        <w:t xml:space="preserve">indings. </w:t>
      </w:r>
      <w:r w:rsidRPr="004756F6">
        <w:rPr>
          <w:i/>
          <w:lang w:val="en-US" w:bidi="en-US"/>
        </w:rPr>
        <w:t>Synthese</w:t>
      </w:r>
      <w:r w:rsidRPr="00413FEF">
        <w:rPr>
          <w:lang w:val="en-US" w:bidi="en-US"/>
        </w:rPr>
        <w:t xml:space="preserve">, </w:t>
      </w:r>
      <w:r w:rsidRPr="004756F6">
        <w:rPr>
          <w:i/>
          <w:lang w:val="en-US" w:bidi="en-US"/>
        </w:rPr>
        <w:t>196</w:t>
      </w:r>
      <w:r w:rsidRPr="00413FEF">
        <w:rPr>
          <w:lang w:val="en-US" w:bidi="en-US"/>
        </w:rPr>
        <w:t>(1), 313-327.</w:t>
      </w:r>
    </w:p>
    <w:p w14:paraId="41E8C4DC" w14:textId="452D242D" w:rsidR="00887227" w:rsidRPr="00413FEF" w:rsidRDefault="00887227" w:rsidP="00947ED3">
      <w:pPr>
        <w:spacing w:line="360" w:lineRule="auto"/>
        <w:rPr>
          <w:lang w:val="en-US" w:bidi="en-US"/>
        </w:rPr>
      </w:pPr>
      <w:proofErr w:type="spellStart"/>
      <w:r w:rsidRPr="00413FEF">
        <w:rPr>
          <w:lang w:val="en-US" w:bidi="en-US"/>
        </w:rPr>
        <w:lastRenderedPageBreak/>
        <w:t>Lewenstein</w:t>
      </w:r>
      <w:proofErr w:type="spellEnd"/>
      <w:r w:rsidRPr="00413FEF">
        <w:rPr>
          <w:lang w:val="en-US" w:bidi="en-US"/>
        </w:rPr>
        <w:t>, B</w:t>
      </w:r>
      <w:r w:rsidR="008B3ABF" w:rsidRPr="00413FEF">
        <w:rPr>
          <w:lang w:val="en-US" w:bidi="en-US"/>
        </w:rPr>
        <w:t>.</w:t>
      </w:r>
      <w:r w:rsidRPr="00413FEF">
        <w:rPr>
          <w:lang w:val="en-US" w:bidi="en-US"/>
        </w:rPr>
        <w:t xml:space="preserve">, </w:t>
      </w:r>
      <w:r w:rsidR="0087574D">
        <w:rPr>
          <w:lang w:val="en-US" w:bidi="en-US"/>
        </w:rPr>
        <w:t>&amp;</w:t>
      </w:r>
      <w:r w:rsidR="0087574D" w:rsidRPr="00413FEF">
        <w:rPr>
          <w:lang w:val="en-US" w:bidi="en-US"/>
        </w:rPr>
        <w:t xml:space="preserve"> </w:t>
      </w:r>
      <w:r w:rsidRPr="00413FEF">
        <w:rPr>
          <w:lang w:val="en-US" w:bidi="en-US"/>
        </w:rPr>
        <w:t>Brossard</w:t>
      </w:r>
      <w:r w:rsidR="0087574D">
        <w:rPr>
          <w:lang w:val="en-US" w:bidi="en-US"/>
        </w:rPr>
        <w:t>, D</w:t>
      </w:r>
      <w:r w:rsidRPr="00413FEF">
        <w:rPr>
          <w:lang w:val="en-US" w:bidi="en-US"/>
        </w:rPr>
        <w:t xml:space="preserve">. </w:t>
      </w:r>
      <w:r w:rsidR="0079296A" w:rsidRPr="00413FEF">
        <w:rPr>
          <w:lang w:val="en-US" w:bidi="en-US"/>
        </w:rPr>
        <w:t>(</w:t>
      </w:r>
      <w:r w:rsidRPr="00413FEF">
        <w:rPr>
          <w:lang w:val="en-US" w:bidi="en-US"/>
        </w:rPr>
        <w:t>2006</w:t>
      </w:r>
      <w:r w:rsidR="0079296A" w:rsidRPr="00413FEF">
        <w:rPr>
          <w:lang w:val="en-US" w:bidi="en-US"/>
        </w:rPr>
        <w:t>)</w:t>
      </w:r>
      <w:r w:rsidRPr="00413FEF">
        <w:rPr>
          <w:lang w:val="en-US" w:bidi="en-US"/>
        </w:rPr>
        <w:t xml:space="preserve">. Assessing </w:t>
      </w:r>
      <w:r w:rsidR="0087574D">
        <w:rPr>
          <w:lang w:val="en-US" w:bidi="en-US"/>
        </w:rPr>
        <w:t>m</w:t>
      </w:r>
      <w:r w:rsidRPr="00413FEF">
        <w:rPr>
          <w:lang w:val="en-US" w:bidi="en-US"/>
        </w:rPr>
        <w:t xml:space="preserve">odels of </w:t>
      </w:r>
      <w:r w:rsidR="0087574D">
        <w:rPr>
          <w:lang w:val="en-US" w:bidi="en-US"/>
        </w:rPr>
        <w:t>p</w:t>
      </w:r>
      <w:r w:rsidRPr="00413FEF">
        <w:rPr>
          <w:lang w:val="en-US" w:bidi="en-US"/>
        </w:rPr>
        <w:t xml:space="preserve">ublic </w:t>
      </w:r>
      <w:r w:rsidR="0087574D">
        <w:rPr>
          <w:lang w:val="en-US" w:bidi="en-US"/>
        </w:rPr>
        <w:t>u</w:t>
      </w:r>
      <w:r w:rsidRPr="00413FEF">
        <w:rPr>
          <w:lang w:val="en-US" w:bidi="en-US"/>
        </w:rPr>
        <w:t xml:space="preserve">nderstanding </w:t>
      </w:r>
      <w:r w:rsidR="0079296A" w:rsidRPr="00413FEF">
        <w:rPr>
          <w:lang w:val="en-US" w:bidi="en-US"/>
        </w:rPr>
        <w:t>i</w:t>
      </w:r>
      <w:r w:rsidRPr="00413FEF">
        <w:rPr>
          <w:lang w:val="en-US" w:bidi="en-US"/>
        </w:rPr>
        <w:t xml:space="preserve">n ELSI </w:t>
      </w:r>
      <w:r w:rsidR="0087574D">
        <w:rPr>
          <w:lang w:val="en-US" w:bidi="en-US"/>
        </w:rPr>
        <w:t>o</w:t>
      </w:r>
      <w:r w:rsidRPr="00413FEF">
        <w:rPr>
          <w:lang w:val="en-US" w:bidi="en-US"/>
        </w:rPr>
        <w:t xml:space="preserve">utreach </w:t>
      </w:r>
      <w:proofErr w:type="gramStart"/>
      <w:r w:rsidR="0087574D">
        <w:rPr>
          <w:lang w:val="en-US" w:bidi="en-US"/>
        </w:rPr>
        <w:t>m</w:t>
      </w:r>
      <w:r w:rsidRPr="00413FEF">
        <w:rPr>
          <w:lang w:val="en-US" w:bidi="en-US"/>
        </w:rPr>
        <w:t>aterials</w:t>
      </w:r>
      <w:r w:rsidR="0087574D">
        <w:rPr>
          <w:lang w:val="en-US" w:bidi="en-US"/>
        </w:rPr>
        <w:t>.</w:t>
      </w:r>
      <w:r w:rsidRPr="00413FEF">
        <w:rPr>
          <w:lang w:val="en-US" w:bidi="en-US"/>
        </w:rPr>
        <w:t>.</w:t>
      </w:r>
      <w:proofErr w:type="gramEnd"/>
      <w:r w:rsidRPr="00413FEF">
        <w:rPr>
          <w:lang w:val="en-US" w:bidi="en-US"/>
        </w:rPr>
        <w:t xml:space="preserve"> </w:t>
      </w:r>
      <w:hyperlink r:id="rId14" w:history="1">
        <w:r w:rsidRPr="00413FEF">
          <w:rPr>
            <w:rStyle w:val="Hyperlink"/>
            <w:lang w:val="en-US" w:bidi="en-US"/>
          </w:rPr>
          <w:t>https://doi.org/10.2172/876753</w:t>
        </w:r>
      </w:hyperlink>
    </w:p>
    <w:p w14:paraId="19D511C1" w14:textId="72F656E2" w:rsidR="00887227" w:rsidRPr="00413FEF" w:rsidRDefault="00887227" w:rsidP="00947ED3">
      <w:pPr>
        <w:spacing w:line="360" w:lineRule="auto"/>
      </w:pPr>
      <w:r w:rsidRPr="00413FEF">
        <w:t xml:space="preserve">Lombrozo, </w:t>
      </w:r>
      <w:r w:rsidR="008B3ABF" w:rsidRPr="00413FEF">
        <w:t xml:space="preserve">T., </w:t>
      </w:r>
      <w:proofErr w:type="spellStart"/>
      <w:r w:rsidRPr="00413FEF">
        <w:t>Thanukos</w:t>
      </w:r>
      <w:proofErr w:type="spellEnd"/>
      <w:r w:rsidRPr="00413FEF">
        <w:t>, A</w:t>
      </w:r>
      <w:r w:rsidR="008B3ABF" w:rsidRPr="00413FEF">
        <w:t>.</w:t>
      </w:r>
      <w:r w:rsidR="004127B0">
        <w:t>, &amp;</w:t>
      </w:r>
      <w:r w:rsidRPr="00413FEF">
        <w:t xml:space="preserve"> </w:t>
      </w:r>
      <w:r w:rsidR="008B3ABF" w:rsidRPr="00413FEF">
        <w:t>Weisberg</w:t>
      </w:r>
      <w:r w:rsidR="004127B0">
        <w:t xml:space="preserve"> M</w:t>
      </w:r>
      <w:r w:rsidRPr="00413FEF">
        <w:t>. (2008)</w:t>
      </w:r>
      <w:r w:rsidR="004127B0">
        <w:t>.</w:t>
      </w:r>
      <w:r w:rsidRPr="00413FEF">
        <w:t xml:space="preserve"> The </w:t>
      </w:r>
      <w:r w:rsidR="004524E8">
        <w:t>i</w:t>
      </w:r>
      <w:r w:rsidRPr="00413FEF">
        <w:t xml:space="preserve">mportance of </w:t>
      </w:r>
      <w:r w:rsidR="004524E8">
        <w:t>u</w:t>
      </w:r>
      <w:r w:rsidRPr="00413FEF">
        <w:t xml:space="preserve">nderstanding the </w:t>
      </w:r>
      <w:r w:rsidR="004524E8">
        <w:t>n</w:t>
      </w:r>
      <w:r w:rsidRPr="00413FEF">
        <w:t xml:space="preserve">ature of </w:t>
      </w:r>
      <w:r w:rsidR="004524E8">
        <w:t>s</w:t>
      </w:r>
      <w:r w:rsidRPr="00413FEF">
        <w:t xml:space="preserve">cience for </w:t>
      </w:r>
      <w:r w:rsidR="004524E8">
        <w:t>a</w:t>
      </w:r>
      <w:r w:rsidRPr="00413FEF">
        <w:t xml:space="preserve">ccepting </w:t>
      </w:r>
      <w:r w:rsidR="004524E8">
        <w:t>e</w:t>
      </w:r>
      <w:r w:rsidRPr="00413FEF">
        <w:t xml:space="preserve">volution. </w:t>
      </w:r>
      <w:r w:rsidRPr="004756F6">
        <w:rPr>
          <w:i/>
        </w:rPr>
        <w:t>Evol</w:t>
      </w:r>
      <w:r w:rsidR="00DD2B89" w:rsidRPr="004756F6">
        <w:rPr>
          <w:i/>
        </w:rPr>
        <w:t>ution:</w:t>
      </w:r>
      <w:r w:rsidRPr="004756F6">
        <w:rPr>
          <w:i/>
        </w:rPr>
        <w:t xml:space="preserve"> Educ</w:t>
      </w:r>
      <w:r w:rsidR="00DD2B89">
        <w:rPr>
          <w:i/>
        </w:rPr>
        <w:t>ation and</w:t>
      </w:r>
      <w:r w:rsidRPr="004756F6">
        <w:rPr>
          <w:i/>
        </w:rPr>
        <w:t xml:space="preserve"> Outreach</w:t>
      </w:r>
      <w:r w:rsidR="00DD2B89">
        <w:rPr>
          <w:i/>
        </w:rPr>
        <w:t>,</w:t>
      </w:r>
      <w:r w:rsidRPr="00413FEF">
        <w:t xml:space="preserve"> 1</w:t>
      </w:r>
      <w:r w:rsidR="00DD2B89">
        <w:t>,</w:t>
      </w:r>
      <w:r w:rsidRPr="00413FEF">
        <w:t xml:space="preserve"> 290-298. 10.1007/s12052-008-0061-8</w:t>
      </w:r>
    </w:p>
    <w:p w14:paraId="72F612EF" w14:textId="396C5BF2" w:rsidR="00887227" w:rsidRPr="00413FEF" w:rsidRDefault="00887227" w:rsidP="004A3019">
      <w:pPr>
        <w:spacing w:line="360" w:lineRule="auto"/>
        <w:rPr>
          <w:lang w:val="en-GB" w:bidi="en-US"/>
        </w:rPr>
      </w:pPr>
      <w:r w:rsidRPr="00413FEF">
        <w:rPr>
          <w:lang w:val="en-GB" w:bidi="en-US"/>
        </w:rPr>
        <w:t xml:space="preserve">McGeer, V. </w:t>
      </w:r>
      <w:r w:rsidR="0079296A" w:rsidRPr="00413FEF">
        <w:rPr>
          <w:lang w:val="en-GB" w:bidi="en-US"/>
        </w:rPr>
        <w:t>(</w:t>
      </w:r>
      <w:r w:rsidRPr="00413FEF">
        <w:rPr>
          <w:lang w:val="en-GB" w:bidi="en-US"/>
        </w:rPr>
        <w:t>2008</w:t>
      </w:r>
      <w:r w:rsidR="0079296A" w:rsidRPr="00413FEF">
        <w:rPr>
          <w:lang w:val="en-GB" w:bidi="en-US"/>
        </w:rPr>
        <w:t>)</w:t>
      </w:r>
      <w:r w:rsidR="00B9078B">
        <w:rPr>
          <w:lang w:val="en-GB" w:bidi="en-US"/>
        </w:rPr>
        <w:t>.</w:t>
      </w:r>
      <w:r w:rsidRPr="00413FEF">
        <w:rPr>
          <w:lang w:val="en-GB" w:bidi="en-US"/>
        </w:rPr>
        <w:t xml:space="preserve"> Trust, </w:t>
      </w:r>
      <w:r w:rsidR="00B9078B">
        <w:rPr>
          <w:lang w:val="en-GB" w:bidi="en-US"/>
        </w:rPr>
        <w:t>h</w:t>
      </w:r>
      <w:r w:rsidRPr="00413FEF">
        <w:rPr>
          <w:lang w:val="en-GB" w:bidi="en-US"/>
        </w:rPr>
        <w:t xml:space="preserve">ope and </w:t>
      </w:r>
      <w:r w:rsidR="00B9078B">
        <w:rPr>
          <w:lang w:val="en-GB" w:bidi="en-US"/>
        </w:rPr>
        <w:t>e</w:t>
      </w:r>
      <w:r w:rsidRPr="00413FEF">
        <w:rPr>
          <w:lang w:val="en-GB" w:bidi="en-US"/>
        </w:rPr>
        <w:t>mpowerment</w:t>
      </w:r>
      <w:r w:rsidR="00B9078B">
        <w:rPr>
          <w:lang w:val="en-GB" w:bidi="en-US"/>
        </w:rPr>
        <w:t>.</w:t>
      </w:r>
      <w:r w:rsidRPr="004756F6">
        <w:rPr>
          <w:i/>
          <w:lang w:val="en-GB" w:bidi="en-US"/>
        </w:rPr>
        <w:t xml:space="preserve"> Australasian Journal of Philosophy</w:t>
      </w:r>
      <w:r w:rsidRPr="00413FEF">
        <w:rPr>
          <w:lang w:val="en-GB" w:bidi="en-US"/>
        </w:rPr>
        <w:t xml:space="preserve">, </w:t>
      </w:r>
      <w:r w:rsidRPr="004756F6">
        <w:rPr>
          <w:i/>
          <w:lang w:val="en-GB" w:bidi="en-US"/>
        </w:rPr>
        <w:t>86</w:t>
      </w:r>
      <w:r w:rsidRPr="00413FEF">
        <w:rPr>
          <w:lang w:val="en-GB" w:bidi="en-US"/>
        </w:rPr>
        <w:t>(2)</w:t>
      </w:r>
      <w:r w:rsidR="00B9078B">
        <w:rPr>
          <w:lang w:val="en-GB" w:bidi="en-US"/>
        </w:rPr>
        <w:t>,</w:t>
      </w:r>
      <w:r w:rsidRPr="00413FEF">
        <w:rPr>
          <w:lang w:val="en-GB" w:bidi="en-US"/>
        </w:rPr>
        <w:t xml:space="preserve"> 237–254. doi:10.1080/00048400801886413</w:t>
      </w:r>
    </w:p>
    <w:p w14:paraId="65414F90" w14:textId="6A57706F" w:rsidR="00887227" w:rsidRPr="00413FEF" w:rsidRDefault="00887227" w:rsidP="004A3019">
      <w:pPr>
        <w:spacing w:line="360" w:lineRule="auto"/>
        <w:rPr>
          <w:lang w:val="en-GB" w:bidi="en-US"/>
        </w:rPr>
      </w:pPr>
      <w:r w:rsidRPr="00413FEF">
        <w:rPr>
          <w:lang w:val="en-GB" w:bidi="en-US"/>
        </w:rPr>
        <w:t>McGeer, V.</w:t>
      </w:r>
      <w:r w:rsidR="00364800">
        <w:rPr>
          <w:lang w:val="en-GB" w:bidi="en-US"/>
        </w:rPr>
        <w:t>, &amp;</w:t>
      </w:r>
      <w:r w:rsidRPr="00413FEF">
        <w:rPr>
          <w:lang w:val="en-GB" w:bidi="en-US"/>
        </w:rPr>
        <w:t xml:space="preserve"> Pettit, P. </w:t>
      </w:r>
      <w:r w:rsidR="0079296A" w:rsidRPr="00413FEF">
        <w:rPr>
          <w:lang w:val="en-GB" w:bidi="en-US"/>
        </w:rPr>
        <w:t>(</w:t>
      </w:r>
      <w:r w:rsidRPr="00413FEF">
        <w:rPr>
          <w:lang w:val="en-GB" w:bidi="en-US"/>
        </w:rPr>
        <w:t>2017</w:t>
      </w:r>
      <w:r w:rsidR="0079296A" w:rsidRPr="00413FEF">
        <w:rPr>
          <w:lang w:val="en-GB" w:bidi="en-US"/>
        </w:rPr>
        <w:t>)</w:t>
      </w:r>
      <w:r w:rsidR="00364800">
        <w:rPr>
          <w:lang w:val="en-GB" w:bidi="en-US"/>
        </w:rPr>
        <w:t>.</w:t>
      </w:r>
      <w:r w:rsidRPr="00413FEF">
        <w:rPr>
          <w:lang w:val="en-GB" w:bidi="en-US"/>
        </w:rPr>
        <w:t xml:space="preserve"> The </w:t>
      </w:r>
      <w:r w:rsidR="00DC1AF2">
        <w:rPr>
          <w:lang w:val="en-GB" w:bidi="en-US"/>
        </w:rPr>
        <w:t>e</w:t>
      </w:r>
      <w:r w:rsidRPr="00413FEF">
        <w:rPr>
          <w:lang w:val="en-GB" w:bidi="en-US"/>
        </w:rPr>
        <w:t xml:space="preserve">mpowering </w:t>
      </w:r>
      <w:r w:rsidR="00DC1AF2">
        <w:rPr>
          <w:lang w:val="en-GB" w:bidi="en-US"/>
        </w:rPr>
        <w:t>t</w:t>
      </w:r>
      <w:r w:rsidRPr="00413FEF">
        <w:rPr>
          <w:lang w:val="en-GB" w:bidi="en-US"/>
        </w:rPr>
        <w:t xml:space="preserve">heory of </w:t>
      </w:r>
      <w:r w:rsidR="00DC1AF2">
        <w:rPr>
          <w:lang w:val="en-GB" w:bidi="en-US"/>
        </w:rPr>
        <w:t>t</w:t>
      </w:r>
      <w:r w:rsidRPr="00413FEF">
        <w:rPr>
          <w:lang w:val="en-GB" w:bidi="en-US"/>
        </w:rPr>
        <w:t>rust</w:t>
      </w:r>
      <w:r w:rsidR="00DC1AF2">
        <w:rPr>
          <w:lang w:val="en-GB" w:bidi="en-US"/>
        </w:rPr>
        <w:t xml:space="preserve"> (pp. </w:t>
      </w:r>
      <w:r w:rsidR="00DC1AF2" w:rsidRPr="00413FEF">
        <w:rPr>
          <w:lang w:val="en-GB" w:bidi="en-US"/>
        </w:rPr>
        <w:t>15–35</w:t>
      </w:r>
      <w:r w:rsidR="00DC1AF2">
        <w:rPr>
          <w:lang w:val="en-GB" w:bidi="en-US"/>
        </w:rPr>
        <w:t>).</w:t>
      </w:r>
      <w:r w:rsidRPr="00413FEF">
        <w:rPr>
          <w:lang w:val="en-GB" w:bidi="en-US"/>
        </w:rPr>
        <w:t xml:space="preserve"> In </w:t>
      </w:r>
      <w:r w:rsidR="00DC1AF2">
        <w:rPr>
          <w:lang w:val="en-GB" w:bidi="en-US"/>
        </w:rPr>
        <w:t xml:space="preserve">P. </w:t>
      </w:r>
      <w:r w:rsidRPr="00413FEF">
        <w:rPr>
          <w:lang w:val="en-GB" w:bidi="en-US"/>
        </w:rPr>
        <w:t xml:space="preserve">Faulkner </w:t>
      </w:r>
      <w:r w:rsidR="00DC1AF2">
        <w:rPr>
          <w:lang w:val="en-GB" w:bidi="en-US"/>
        </w:rPr>
        <w:t>&amp;</w:t>
      </w:r>
      <w:r w:rsidR="00DC1AF2" w:rsidRPr="00413FEF">
        <w:rPr>
          <w:lang w:val="en-GB" w:bidi="en-US"/>
        </w:rPr>
        <w:t xml:space="preserve"> </w:t>
      </w:r>
      <w:r w:rsidR="00DC1AF2">
        <w:rPr>
          <w:lang w:val="en-GB" w:bidi="en-US"/>
        </w:rPr>
        <w:t xml:space="preserve">T. </w:t>
      </w:r>
      <w:r w:rsidRPr="00413FEF">
        <w:rPr>
          <w:lang w:val="en-GB" w:bidi="en-US"/>
        </w:rPr>
        <w:t xml:space="preserve">Simpson </w:t>
      </w:r>
      <w:r w:rsidR="00DC1AF2">
        <w:rPr>
          <w:lang w:val="en-GB" w:bidi="en-US"/>
        </w:rPr>
        <w:t xml:space="preserve">(Eds.). </w:t>
      </w:r>
      <w:r w:rsidRPr="00413FEF">
        <w:rPr>
          <w:lang w:val="en-GB" w:bidi="en-US"/>
        </w:rPr>
        <w:t>doi:10.1093/</w:t>
      </w:r>
      <w:proofErr w:type="spellStart"/>
      <w:proofErr w:type="gramStart"/>
      <w:r w:rsidRPr="00413FEF">
        <w:rPr>
          <w:lang w:val="en-GB" w:bidi="en-US"/>
        </w:rPr>
        <w:t>acprof:oso</w:t>
      </w:r>
      <w:proofErr w:type="spellEnd"/>
      <w:proofErr w:type="gramEnd"/>
      <w:r w:rsidRPr="00413FEF">
        <w:rPr>
          <w:lang w:val="en-GB" w:bidi="en-US"/>
        </w:rPr>
        <w:t>/9780198732549.003.0002</w:t>
      </w:r>
    </w:p>
    <w:p w14:paraId="15962128" w14:textId="7915E0B8" w:rsidR="00887227" w:rsidRPr="00413FEF" w:rsidRDefault="00887227" w:rsidP="00947ED3">
      <w:pPr>
        <w:spacing w:line="360" w:lineRule="auto"/>
        <w:rPr>
          <w:lang w:val="en-GB" w:bidi="en-US"/>
        </w:rPr>
      </w:pPr>
      <w:r w:rsidRPr="00413FEF">
        <w:rPr>
          <w:lang w:val="en-GB" w:bidi="en-US"/>
        </w:rPr>
        <w:t>McLeod, C</w:t>
      </w:r>
      <w:r w:rsidR="001F6A54">
        <w:rPr>
          <w:lang w:val="en-GB" w:bidi="en-US"/>
        </w:rPr>
        <w:t>.</w:t>
      </w:r>
      <w:r w:rsidRPr="00413FEF">
        <w:rPr>
          <w:lang w:val="en-GB" w:bidi="en-US"/>
        </w:rPr>
        <w:t xml:space="preserve"> </w:t>
      </w:r>
      <w:r w:rsidR="001F6A54">
        <w:rPr>
          <w:lang w:val="en-GB" w:bidi="en-US"/>
        </w:rPr>
        <w:t>(</w:t>
      </w:r>
      <w:r w:rsidRPr="00413FEF">
        <w:rPr>
          <w:lang w:val="en-GB" w:bidi="en-US"/>
        </w:rPr>
        <w:t>2002</w:t>
      </w:r>
      <w:r w:rsidR="001F6A54">
        <w:rPr>
          <w:lang w:val="en-GB" w:bidi="en-US"/>
        </w:rPr>
        <w:t>).</w:t>
      </w:r>
      <w:r w:rsidRPr="00413FEF">
        <w:rPr>
          <w:lang w:val="en-GB" w:bidi="en-US"/>
        </w:rPr>
        <w:t> </w:t>
      </w:r>
      <w:r w:rsidRPr="00413FEF">
        <w:rPr>
          <w:i/>
          <w:iCs/>
          <w:lang w:val="en-GB" w:bidi="en-US"/>
        </w:rPr>
        <w:t>Self-</w:t>
      </w:r>
      <w:r w:rsidR="001F6A54">
        <w:rPr>
          <w:i/>
          <w:iCs/>
          <w:lang w:val="en-GB" w:bidi="en-US"/>
        </w:rPr>
        <w:t>t</w:t>
      </w:r>
      <w:r w:rsidRPr="00413FEF">
        <w:rPr>
          <w:i/>
          <w:iCs/>
          <w:lang w:val="en-GB" w:bidi="en-US"/>
        </w:rPr>
        <w:t xml:space="preserve">rust and </w:t>
      </w:r>
      <w:r w:rsidR="001F6A54">
        <w:rPr>
          <w:i/>
          <w:iCs/>
          <w:lang w:val="en-GB" w:bidi="en-US"/>
        </w:rPr>
        <w:t>r</w:t>
      </w:r>
      <w:r w:rsidRPr="00413FEF">
        <w:rPr>
          <w:i/>
          <w:iCs/>
          <w:lang w:val="en-GB" w:bidi="en-US"/>
        </w:rPr>
        <w:t xml:space="preserve">eproductive </w:t>
      </w:r>
      <w:r w:rsidR="001F6A54">
        <w:rPr>
          <w:i/>
          <w:iCs/>
          <w:lang w:val="en-GB" w:bidi="en-US"/>
        </w:rPr>
        <w:t>a</w:t>
      </w:r>
      <w:r w:rsidRPr="00413FEF">
        <w:rPr>
          <w:i/>
          <w:iCs/>
          <w:lang w:val="en-GB" w:bidi="en-US"/>
        </w:rPr>
        <w:t>utonomy</w:t>
      </w:r>
      <w:r w:rsidR="001F6A54">
        <w:rPr>
          <w:i/>
          <w:iCs/>
          <w:lang w:val="en-GB" w:bidi="en-US"/>
        </w:rPr>
        <w:t>.</w:t>
      </w:r>
      <w:r w:rsidRPr="00413FEF">
        <w:rPr>
          <w:lang w:val="en-GB" w:bidi="en-US"/>
        </w:rPr>
        <w:t xml:space="preserve"> MIT Press.</w:t>
      </w:r>
    </w:p>
    <w:p w14:paraId="3B82A6D7" w14:textId="4EB1AB59" w:rsidR="00887227" w:rsidRPr="00413FEF" w:rsidRDefault="00887227" w:rsidP="00947ED3">
      <w:pPr>
        <w:spacing w:line="360" w:lineRule="auto"/>
        <w:rPr>
          <w:lang w:val="en-US" w:bidi="en-US"/>
        </w:rPr>
      </w:pPr>
      <w:r w:rsidRPr="00413FEF">
        <w:rPr>
          <w:lang w:val="en-US" w:bidi="en-US"/>
        </w:rPr>
        <w:t>Miller, J.</w:t>
      </w:r>
      <w:r w:rsidR="001F6A54">
        <w:rPr>
          <w:lang w:val="en-US" w:bidi="en-US"/>
        </w:rPr>
        <w:t xml:space="preserve"> </w:t>
      </w:r>
      <w:r w:rsidRPr="00413FEF">
        <w:rPr>
          <w:lang w:val="en-US" w:bidi="en-US"/>
        </w:rPr>
        <w:t xml:space="preserve">D. </w:t>
      </w:r>
      <w:r w:rsidR="0079296A" w:rsidRPr="00413FEF">
        <w:rPr>
          <w:lang w:val="en-US" w:bidi="en-US"/>
        </w:rPr>
        <w:t>(</w:t>
      </w:r>
      <w:r w:rsidRPr="00413FEF">
        <w:rPr>
          <w:lang w:val="en-US" w:bidi="en-US"/>
        </w:rPr>
        <w:t>2004</w:t>
      </w:r>
      <w:r w:rsidR="0079296A" w:rsidRPr="00413FEF">
        <w:rPr>
          <w:lang w:val="en-US" w:bidi="en-US"/>
        </w:rPr>
        <w:t>)</w:t>
      </w:r>
      <w:r w:rsidR="001F6A54">
        <w:rPr>
          <w:lang w:val="en-US" w:bidi="en-US"/>
        </w:rPr>
        <w:t>.</w:t>
      </w:r>
      <w:r w:rsidRPr="00413FEF">
        <w:rPr>
          <w:lang w:val="en-US" w:bidi="en-US"/>
        </w:rPr>
        <w:t xml:space="preserve"> Public </w:t>
      </w:r>
      <w:r w:rsidR="001F6A54">
        <w:rPr>
          <w:lang w:val="en-US" w:bidi="en-US"/>
        </w:rPr>
        <w:t>u</w:t>
      </w:r>
      <w:r w:rsidRPr="00413FEF">
        <w:rPr>
          <w:lang w:val="en-US" w:bidi="en-US"/>
        </w:rPr>
        <w:t xml:space="preserve">nderstanding of, and </w:t>
      </w:r>
      <w:r w:rsidR="001F6A54">
        <w:rPr>
          <w:lang w:val="en-US" w:bidi="en-US"/>
        </w:rPr>
        <w:t>a</w:t>
      </w:r>
      <w:r w:rsidRPr="00413FEF">
        <w:rPr>
          <w:lang w:val="en-US" w:bidi="en-US"/>
        </w:rPr>
        <w:t xml:space="preserve">ttitudes toward, </w:t>
      </w:r>
      <w:r w:rsidR="001F6A54">
        <w:rPr>
          <w:lang w:val="en-US" w:bidi="en-US"/>
        </w:rPr>
        <w:t>s</w:t>
      </w:r>
      <w:r w:rsidRPr="00413FEF">
        <w:rPr>
          <w:lang w:val="en-US" w:bidi="en-US"/>
        </w:rPr>
        <w:t xml:space="preserve">cientific </w:t>
      </w:r>
      <w:r w:rsidR="001F6A54">
        <w:rPr>
          <w:lang w:val="en-US" w:bidi="en-US"/>
        </w:rPr>
        <w:t>r</w:t>
      </w:r>
      <w:r w:rsidRPr="00413FEF">
        <w:rPr>
          <w:lang w:val="en-US" w:bidi="en-US"/>
        </w:rPr>
        <w:t xml:space="preserve">esearch: What </w:t>
      </w:r>
      <w:r w:rsidR="001F6A54">
        <w:rPr>
          <w:lang w:val="en-US" w:bidi="en-US"/>
        </w:rPr>
        <w:t>w</w:t>
      </w:r>
      <w:r w:rsidRPr="00413FEF">
        <w:rPr>
          <w:lang w:val="en-US" w:bidi="en-US"/>
        </w:rPr>
        <w:t xml:space="preserve">e </w:t>
      </w:r>
      <w:r w:rsidR="001F6A54">
        <w:rPr>
          <w:lang w:val="en-US" w:bidi="en-US"/>
        </w:rPr>
        <w:t>k</w:t>
      </w:r>
      <w:r w:rsidRPr="00413FEF">
        <w:rPr>
          <w:lang w:val="en-US" w:bidi="en-US"/>
        </w:rPr>
        <w:t xml:space="preserve">now and </w:t>
      </w:r>
      <w:r w:rsidR="001F6A54">
        <w:rPr>
          <w:lang w:val="en-US" w:bidi="en-US"/>
        </w:rPr>
        <w:t>w</w:t>
      </w:r>
      <w:r w:rsidRPr="00413FEF">
        <w:rPr>
          <w:lang w:val="en-US" w:bidi="en-US"/>
        </w:rPr>
        <w:t xml:space="preserve">hat </w:t>
      </w:r>
      <w:r w:rsidR="001F6A54">
        <w:rPr>
          <w:lang w:val="en-US" w:bidi="en-US"/>
        </w:rPr>
        <w:t>w</w:t>
      </w:r>
      <w:r w:rsidRPr="00413FEF">
        <w:rPr>
          <w:lang w:val="en-US" w:bidi="en-US"/>
        </w:rPr>
        <w:t xml:space="preserve">e </w:t>
      </w:r>
      <w:r w:rsidR="001F6A54">
        <w:rPr>
          <w:lang w:val="en-US" w:bidi="en-US"/>
        </w:rPr>
        <w:t>n</w:t>
      </w:r>
      <w:r w:rsidRPr="00413FEF">
        <w:rPr>
          <w:lang w:val="en-US" w:bidi="en-US"/>
        </w:rPr>
        <w:t xml:space="preserve">eed to </w:t>
      </w:r>
      <w:r w:rsidR="001F6A54">
        <w:rPr>
          <w:lang w:val="en-US" w:bidi="en-US"/>
        </w:rPr>
        <w:t>k</w:t>
      </w:r>
      <w:r w:rsidRPr="00413FEF">
        <w:rPr>
          <w:lang w:val="en-US" w:bidi="en-US"/>
        </w:rPr>
        <w:t xml:space="preserve">now. </w:t>
      </w:r>
      <w:r w:rsidRPr="004756F6">
        <w:rPr>
          <w:i/>
          <w:lang w:val="en-US" w:bidi="en-US"/>
        </w:rPr>
        <w:t>Public Understanding of Science</w:t>
      </w:r>
      <w:r w:rsidR="001F6A54">
        <w:rPr>
          <w:lang w:val="en-US" w:bidi="en-US"/>
        </w:rPr>
        <w:t>,</w:t>
      </w:r>
      <w:r w:rsidRPr="00413FEF">
        <w:rPr>
          <w:lang w:val="en-US" w:bidi="en-US"/>
        </w:rPr>
        <w:t xml:space="preserve"> </w:t>
      </w:r>
      <w:r w:rsidRPr="004756F6">
        <w:rPr>
          <w:i/>
          <w:lang w:val="en-US" w:bidi="en-US"/>
        </w:rPr>
        <w:t>13</w:t>
      </w:r>
      <w:r w:rsidRPr="00413FEF">
        <w:rPr>
          <w:lang w:val="en-US" w:bidi="en-US"/>
        </w:rPr>
        <w:t>(3)</w:t>
      </w:r>
      <w:r w:rsidR="001F6A54">
        <w:rPr>
          <w:lang w:val="en-US" w:bidi="en-US"/>
        </w:rPr>
        <w:t>,</w:t>
      </w:r>
      <w:r w:rsidRPr="00413FEF">
        <w:rPr>
          <w:lang w:val="en-US" w:bidi="en-US"/>
        </w:rPr>
        <w:t xml:space="preserve"> 273–94. https://doi.org/10.1177/0963662504044908</w:t>
      </w:r>
    </w:p>
    <w:p w14:paraId="1E475F7F" w14:textId="26F0FF7F" w:rsidR="00887227" w:rsidRPr="00413FEF" w:rsidRDefault="00887227" w:rsidP="00947ED3">
      <w:pPr>
        <w:spacing w:line="360" w:lineRule="auto"/>
        <w:rPr>
          <w:lang w:val="en-US" w:bidi="en-US"/>
        </w:rPr>
      </w:pPr>
      <w:r w:rsidRPr="00413FEF">
        <w:rPr>
          <w:lang w:val="en-US" w:bidi="en-US"/>
        </w:rPr>
        <w:t>Miller, J</w:t>
      </w:r>
      <w:r w:rsidR="00AD5F72">
        <w:rPr>
          <w:lang w:val="en-US" w:bidi="en-US"/>
        </w:rPr>
        <w:t>.</w:t>
      </w:r>
      <w:r w:rsidRPr="00413FEF">
        <w:rPr>
          <w:lang w:val="en-US" w:bidi="en-US"/>
        </w:rPr>
        <w:t xml:space="preserve"> D. </w:t>
      </w:r>
      <w:r w:rsidR="0079296A" w:rsidRPr="00413FEF">
        <w:rPr>
          <w:lang w:val="en-US" w:bidi="en-US"/>
        </w:rPr>
        <w:t>(</w:t>
      </w:r>
      <w:r w:rsidRPr="00413FEF">
        <w:rPr>
          <w:lang w:val="en-US" w:bidi="en-US"/>
        </w:rPr>
        <w:t>1983</w:t>
      </w:r>
      <w:r w:rsidR="0079296A" w:rsidRPr="00413FEF">
        <w:rPr>
          <w:lang w:val="en-US" w:bidi="en-US"/>
        </w:rPr>
        <w:t>)</w:t>
      </w:r>
      <w:r w:rsidR="00AD5F72">
        <w:rPr>
          <w:lang w:val="en-US" w:bidi="en-US"/>
        </w:rPr>
        <w:t>.</w:t>
      </w:r>
      <w:r w:rsidRPr="00413FEF">
        <w:rPr>
          <w:lang w:val="en-US" w:bidi="en-US"/>
        </w:rPr>
        <w:t xml:space="preserve"> Scientific </w:t>
      </w:r>
      <w:r w:rsidR="00AD5F72">
        <w:rPr>
          <w:lang w:val="en-US" w:bidi="en-US"/>
        </w:rPr>
        <w:t>l</w:t>
      </w:r>
      <w:r w:rsidRPr="00413FEF">
        <w:rPr>
          <w:lang w:val="en-US" w:bidi="en-US"/>
        </w:rPr>
        <w:t xml:space="preserve">iteracy: A </w:t>
      </w:r>
      <w:r w:rsidR="00AD5F72">
        <w:rPr>
          <w:lang w:val="en-US" w:bidi="en-US"/>
        </w:rPr>
        <w:t>c</w:t>
      </w:r>
      <w:r w:rsidRPr="00413FEF">
        <w:rPr>
          <w:lang w:val="en-US" w:bidi="en-US"/>
        </w:rPr>
        <w:t xml:space="preserve">onceptual and </w:t>
      </w:r>
      <w:r w:rsidR="00AD5F72">
        <w:rPr>
          <w:lang w:val="en-US" w:bidi="en-US"/>
        </w:rPr>
        <w:t>e</w:t>
      </w:r>
      <w:r w:rsidRPr="00413FEF">
        <w:rPr>
          <w:lang w:val="en-US" w:bidi="en-US"/>
        </w:rPr>
        <w:t xml:space="preserve">mpirical </w:t>
      </w:r>
      <w:r w:rsidR="00AD5F72">
        <w:rPr>
          <w:lang w:val="en-US" w:bidi="en-US"/>
        </w:rPr>
        <w:t>r</w:t>
      </w:r>
      <w:r w:rsidRPr="00413FEF">
        <w:rPr>
          <w:lang w:val="en-US" w:bidi="en-US"/>
        </w:rPr>
        <w:t xml:space="preserve">eview. </w:t>
      </w:r>
      <w:r w:rsidRPr="004756F6">
        <w:rPr>
          <w:i/>
          <w:lang w:val="en-US" w:bidi="en-US"/>
        </w:rPr>
        <w:t>Daedalus</w:t>
      </w:r>
      <w:r w:rsidR="00AD5F72">
        <w:rPr>
          <w:lang w:val="en-US" w:bidi="en-US"/>
        </w:rPr>
        <w:t>,</w:t>
      </w:r>
      <w:r w:rsidRPr="00AD5F72">
        <w:rPr>
          <w:lang w:val="en-US" w:bidi="en-US"/>
        </w:rPr>
        <w:t xml:space="preserve"> </w:t>
      </w:r>
      <w:r w:rsidRPr="004756F6">
        <w:rPr>
          <w:i/>
          <w:lang w:val="en-US" w:bidi="en-US"/>
        </w:rPr>
        <w:t>112</w:t>
      </w:r>
      <w:r w:rsidRPr="00413FEF">
        <w:rPr>
          <w:lang w:val="en-US" w:bidi="en-US"/>
        </w:rPr>
        <w:t xml:space="preserve"> (2)</w:t>
      </w:r>
      <w:r w:rsidR="00AD5F72">
        <w:rPr>
          <w:lang w:val="en-US" w:bidi="en-US"/>
        </w:rPr>
        <w:t>,</w:t>
      </w:r>
      <w:r w:rsidRPr="00413FEF">
        <w:rPr>
          <w:lang w:val="en-US" w:bidi="en-US"/>
        </w:rPr>
        <w:t xml:space="preserve"> 29–48.</w:t>
      </w:r>
    </w:p>
    <w:p w14:paraId="3327595D" w14:textId="68D85940" w:rsidR="00887227" w:rsidRPr="00413FEF" w:rsidRDefault="00887227" w:rsidP="00947ED3">
      <w:pPr>
        <w:spacing w:line="360" w:lineRule="auto"/>
        <w:rPr>
          <w:lang w:val="en-GB" w:bidi="en-US"/>
        </w:rPr>
      </w:pPr>
      <w:proofErr w:type="spellStart"/>
      <w:r w:rsidRPr="00413FEF">
        <w:rPr>
          <w:lang w:val="en-GB" w:bidi="en-US"/>
        </w:rPr>
        <w:t>Millgram</w:t>
      </w:r>
      <w:proofErr w:type="spellEnd"/>
      <w:r w:rsidRPr="00413FEF">
        <w:rPr>
          <w:lang w:val="en-GB" w:bidi="en-US"/>
        </w:rPr>
        <w:t>, E. (2015)</w:t>
      </w:r>
      <w:r w:rsidR="00600114">
        <w:rPr>
          <w:lang w:val="en-GB" w:bidi="en-US"/>
        </w:rPr>
        <w:t>.</w:t>
      </w:r>
      <w:r w:rsidRPr="00413FEF">
        <w:rPr>
          <w:lang w:val="en-GB" w:bidi="en-US"/>
        </w:rPr>
        <w:t xml:space="preserve"> </w:t>
      </w:r>
      <w:r w:rsidRPr="00413FEF">
        <w:rPr>
          <w:i/>
          <w:iCs/>
          <w:lang w:val="en-GB" w:bidi="en-US"/>
        </w:rPr>
        <w:t xml:space="preserve">The </w:t>
      </w:r>
      <w:r w:rsidR="00600114">
        <w:rPr>
          <w:i/>
          <w:iCs/>
          <w:lang w:val="en-GB" w:bidi="en-US"/>
        </w:rPr>
        <w:t>g</w:t>
      </w:r>
      <w:r w:rsidRPr="00413FEF">
        <w:rPr>
          <w:i/>
          <w:iCs/>
          <w:lang w:val="en-GB" w:bidi="en-US"/>
        </w:rPr>
        <w:t xml:space="preserve">reat </w:t>
      </w:r>
      <w:r w:rsidR="00600114">
        <w:rPr>
          <w:i/>
          <w:iCs/>
          <w:lang w:val="en-GB" w:bidi="en-US"/>
        </w:rPr>
        <w:t>e</w:t>
      </w:r>
      <w:r w:rsidRPr="00413FEF">
        <w:rPr>
          <w:i/>
          <w:iCs/>
          <w:lang w:val="en-GB" w:bidi="en-US"/>
        </w:rPr>
        <w:t xml:space="preserve">ndarkenment: Philosophy for </w:t>
      </w:r>
      <w:r w:rsidR="00600114">
        <w:rPr>
          <w:i/>
          <w:iCs/>
          <w:lang w:val="en-GB" w:bidi="en-US"/>
        </w:rPr>
        <w:t>a</w:t>
      </w:r>
      <w:r w:rsidRPr="00413FEF">
        <w:rPr>
          <w:i/>
          <w:iCs/>
          <w:lang w:val="en-GB" w:bidi="en-US"/>
        </w:rPr>
        <w:t xml:space="preserve">n </w:t>
      </w:r>
      <w:r w:rsidR="00600114">
        <w:rPr>
          <w:i/>
          <w:iCs/>
          <w:lang w:val="en-GB" w:bidi="en-US"/>
        </w:rPr>
        <w:t>a</w:t>
      </w:r>
      <w:r w:rsidRPr="00413FEF">
        <w:rPr>
          <w:i/>
          <w:iCs/>
          <w:lang w:val="en-GB" w:bidi="en-US"/>
        </w:rPr>
        <w:t xml:space="preserve">ge of </w:t>
      </w:r>
      <w:proofErr w:type="spellStart"/>
      <w:r w:rsidR="00600114">
        <w:rPr>
          <w:i/>
          <w:iCs/>
          <w:lang w:val="en-GB" w:bidi="en-US"/>
        </w:rPr>
        <w:t>h</w:t>
      </w:r>
      <w:r w:rsidRPr="00413FEF">
        <w:rPr>
          <w:i/>
          <w:iCs/>
          <w:lang w:val="en-GB" w:bidi="en-US"/>
        </w:rPr>
        <w:t>yperspecialization</w:t>
      </w:r>
      <w:proofErr w:type="spellEnd"/>
      <w:r w:rsidR="00600114">
        <w:rPr>
          <w:lang w:val="en-GB" w:bidi="en-US"/>
        </w:rPr>
        <w:t>.</w:t>
      </w:r>
      <w:r w:rsidRPr="00413FEF">
        <w:rPr>
          <w:lang w:val="en-GB" w:bidi="en-US"/>
        </w:rPr>
        <w:t xml:space="preserve"> Oxford University Press. </w:t>
      </w:r>
    </w:p>
    <w:p w14:paraId="09334A1D" w14:textId="49FAB158" w:rsidR="00887227" w:rsidRPr="00413FEF" w:rsidRDefault="00887227" w:rsidP="00947ED3">
      <w:pPr>
        <w:spacing w:line="360" w:lineRule="auto"/>
        <w:rPr>
          <w:lang w:val="en-US" w:bidi="en-US"/>
        </w:rPr>
      </w:pPr>
      <w:r w:rsidRPr="00413FEF">
        <w:rPr>
          <w:lang w:val="en-US" w:bidi="en-US"/>
        </w:rPr>
        <w:t>Nguyen, C. T</w:t>
      </w:r>
      <w:r w:rsidR="00585D27">
        <w:rPr>
          <w:lang w:val="en-US" w:bidi="en-US"/>
        </w:rPr>
        <w:t>.</w:t>
      </w:r>
      <w:r w:rsidRPr="00413FEF">
        <w:rPr>
          <w:lang w:val="en-US" w:bidi="en-US"/>
        </w:rPr>
        <w:t xml:space="preserve"> (2018)</w:t>
      </w:r>
      <w:r w:rsidR="00585D27">
        <w:rPr>
          <w:lang w:val="en-US" w:bidi="en-US"/>
        </w:rPr>
        <w:t>.</w:t>
      </w:r>
      <w:r w:rsidRPr="00413FEF">
        <w:rPr>
          <w:lang w:val="en-US" w:bidi="en-US"/>
        </w:rPr>
        <w:t xml:space="preserve"> Expertise and the </w:t>
      </w:r>
      <w:r w:rsidR="00585D27">
        <w:rPr>
          <w:lang w:val="en-US" w:bidi="en-US"/>
        </w:rPr>
        <w:t>f</w:t>
      </w:r>
      <w:r w:rsidRPr="00413FEF">
        <w:rPr>
          <w:lang w:val="en-US" w:bidi="en-US"/>
        </w:rPr>
        <w:t xml:space="preserve">ragmentation of </w:t>
      </w:r>
      <w:r w:rsidR="00585D27">
        <w:rPr>
          <w:lang w:val="en-US" w:bidi="en-US"/>
        </w:rPr>
        <w:t>i</w:t>
      </w:r>
      <w:r w:rsidRPr="00413FEF">
        <w:rPr>
          <w:lang w:val="en-US" w:bidi="en-US"/>
        </w:rPr>
        <w:t xml:space="preserve">ntellectual </w:t>
      </w:r>
      <w:r w:rsidR="00585D27">
        <w:rPr>
          <w:lang w:val="en-US" w:bidi="en-US"/>
        </w:rPr>
        <w:t>a</w:t>
      </w:r>
      <w:r w:rsidRPr="00413FEF">
        <w:rPr>
          <w:lang w:val="en-US" w:bidi="en-US"/>
        </w:rPr>
        <w:t xml:space="preserve">utonomy. </w:t>
      </w:r>
      <w:r w:rsidRPr="004756F6">
        <w:rPr>
          <w:i/>
          <w:lang w:val="en-US" w:bidi="en-US"/>
        </w:rPr>
        <w:t>Philosophical Inquiries</w:t>
      </w:r>
      <w:r w:rsidR="00585D27">
        <w:rPr>
          <w:i/>
          <w:lang w:val="en-US" w:bidi="en-US"/>
        </w:rPr>
        <w:t>,</w:t>
      </w:r>
      <w:r w:rsidRPr="00413FEF">
        <w:rPr>
          <w:lang w:val="en-US" w:bidi="en-US"/>
        </w:rPr>
        <w:t xml:space="preserve"> </w:t>
      </w:r>
      <w:r w:rsidRPr="004756F6">
        <w:rPr>
          <w:i/>
          <w:lang w:val="en-US" w:bidi="en-US"/>
        </w:rPr>
        <w:t>6</w:t>
      </w:r>
      <w:r w:rsidRPr="00413FEF">
        <w:rPr>
          <w:lang w:val="en-US" w:bidi="en-US"/>
        </w:rPr>
        <w:t>(2): 107–24.</w:t>
      </w:r>
    </w:p>
    <w:p w14:paraId="321E2F7D" w14:textId="08934ABB" w:rsidR="00693168" w:rsidRPr="00413FEF" w:rsidRDefault="00693168" w:rsidP="00E70303">
      <w:pPr>
        <w:spacing w:line="360" w:lineRule="auto"/>
        <w:rPr>
          <w:lang w:bidi="en-US"/>
        </w:rPr>
      </w:pPr>
      <w:r w:rsidRPr="00413FEF">
        <w:rPr>
          <w:lang w:bidi="en-US"/>
        </w:rPr>
        <w:t>Nguyen, C. T</w:t>
      </w:r>
      <w:r w:rsidR="002625D5">
        <w:rPr>
          <w:lang w:bidi="en-US"/>
        </w:rPr>
        <w:t>.</w:t>
      </w:r>
      <w:r w:rsidRPr="00413FEF">
        <w:rPr>
          <w:lang w:bidi="en-US"/>
        </w:rPr>
        <w:t xml:space="preserve"> (2022)</w:t>
      </w:r>
      <w:r w:rsidR="002625D5">
        <w:rPr>
          <w:lang w:bidi="en-US"/>
        </w:rPr>
        <w:t>.</w:t>
      </w:r>
      <w:r w:rsidRPr="00413FEF">
        <w:rPr>
          <w:lang w:bidi="en-US"/>
        </w:rPr>
        <w:t xml:space="preserve"> Trust as an unquestioning attitude. Oxford Studies in Epistemology </w:t>
      </w:r>
      <w:r w:rsidRPr="004756F6">
        <w:rPr>
          <w:i/>
          <w:lang w:bidi="en-US"/>
        </w:rPr>
        <w:t>7</w:t>
      </w:r>
      <w:r w:rsidR="00C10772">
        <w:rPr>
          <w:lang w:bidi="en-US"/>
        </w:rPr>
        <w:t xml:space="preserve">, </w:t>
      </w:r>
      <w:r w:rsidRPr="00413FEF">
        <w:rPr>
          <w:lang w:bidi="en-US"/>
        </w:rPr>
        <w:t>214-244.</w:t>
      </w:r>
    </w:p>
    <w:p w14:paraId="45FBEE9B" w14:textId="4FF1A0B3" w:rsidR="00887227" w:rsidRPr="00413FEF" w:rsidRDefault="00887227" w:rsidP="00947ED3">
      <w:pPr>
        <w:spacing w:line="360" w:lineRule="auto"/>
        <w:rPr>
          <w:lang w:val="en-US" w:bidi="en-US"/>
        </w:rPr>
      </w:pPr>
      <w:r w:rsidRPr="00413FEF">
        <w:rPr>
          <w:lang w:val="en-US" w:bidi="en-US"/>
        </w:rPr>
        <w:t>Nichols, T. (2017)</w:t>
      </w:r>
      <w:r w:rsidR="00C10772">
        <w:rPr>
          <w:lang w:val="en-US" w:bidi="en-US"/>
        </w:rPr>
        <w:t>.</w:t>
      </w:r>
      <w:r w:rsidRPr="00413FEF">
        <w:rPr>
          <w:lang w:val="en-US" w:bidi="en-US"/>
        </w:rPr>
        <w:t xml:space="preserve"> </w:t>
      </w:r>
      <w:r w:rsidRPr="004756F6">
        <w:rPr>
          <w:i/>
          <w:lang w:val="en-US" w:bidi="en-US"/>
        </w:rPr>
        <w:t xml:space="preserve">The </w:t>
      </w:r>
      <w:r w:rsidR="00766A32" w:rsidRPr="004756F6">
        <w:rPr>
          <w:i/>
          <w:lang w:val="en-US" w:bidi="en-US"/>
        </w:rPr>
        <w:t>d</w:t>
      </w:r>
      <w:r w:rsidRPr="004756F6">
        <w:rPr>
          <w:i/>
          <w:lang w:val="en-US" w:bidi="en-US"/>
        </w:rPr>
        <w:t xml:space="preserve">eath of </w:t>
      </w:r>
      <w:r w:rsidR="00766A32" w:rsidRPr="004756F6">
        <w:rPr>
          <w:i/>
          <w:lang w:val="en-US" w:bidi="en-US"/>
        </w:rPr>
        <w:t>e</w:t>
      </w:r>
      <w:r w:rsidRPr="004756F6">
        <w:rPr>
          <w:i/>
          <w:lang w:val="en-US" w:bidi="en-US"/>
        </w:rPr>
        <w:t xml:space="preserve">xpertise: The </w:t>
      </w:r>
      <w:r w:rsidR="00766A32">
        <w:rPr>
          <w:i/>
          <w:lang w:val="en-US" w:bidi="en-US"/>
        </w:rPr>
        <w:t>c</w:t>
      </w:r>
      <w:r w:rsidRPr="004756F6">
        <w:rPr>
          <w:i/>
          <w:lang w:val="en-US" w:bidi="en-US"/>
        </w:rPr>
        <w:t xml:space="preserve">ampaign against </w:t>
      </w:r>
      <w:r w:rsidR="00766A32">
        <w:rPr>
          <w:i/>
          <w:lang w:val="en-US" w:bidi="en-US"/>
        </w:rPr>
        <w:t>e</w:t>
      </w:r>
      <w:r w:rsidRPr="004756F6">
        <w:rPr>
          <w:i/>
          <w:lang w:val="en-US" w:bidi="en-US"/>
        </w:rPr>
        <w:t xml:space="preserve">stablished </w:t>
      </w:r>
      <w:r w:rsidR="00766A32">
        <w:rPr>
          <w:i/>
          <w:lang w:val="en-US" w:bidi="en-US"/>
        </w:rPr>
        <w:t>k</w:t>
      </w:r>
      <w:r w:rsidRPr="004756F6">
        <w:rPr>
          <w:i/>
          <w:lang w:val="en-US" w:bidi="en-US"/>
        </w:rPr>
        <w:t xml:space="preserve">nowledge and </w:t>
      </w:r>
      <w:r w:rsidR="00766A32">
        <w:rPr>
          <w:i/>
          <w:lang w:val="en-US" w:bidi="en-US"/>
        </w:rPr>
        <w:t>w</w:t>
      </w:r>
      <w:r w:rsidRPr="004756F6">
        <w:rPr>
          <w:i/>
          <w:lang w:val="en-US" w:bidi="en-US"/>
        </w:rPr>
        <w:t xml:space="preserve">hy </w:t>
      </w:r>
      <w:r w:rsidR="00766A32">
        <w:rPr>
          <w:i/>
          <w:lang w:val="en-US" w:bidi="en-US"/>
        </w:rPr>
        <w:t>i</w:t>
      </w:r>
      <w:r w:rsidRPr="004756F6">
        <w:rPr>
          <w:i/>
          <w:lang w:val="en-US" w:bidi="en-US"/>
        </w:rPr>
        <w:t xml:space="preserve">t </w:t>
      </w:r>
      <w:r w:rsidR="00766A32">
        <w:rPr>
          <w:i/>
          <w:lang w:val="en-US" w:bidi="en-US"/>
        </w:rPr>
        <w:t>m</w:t>
      </w:r>
      <w:r w:rsidRPr="004756F6">
        <w:rPr>
          <w:i/>
          <w:lang w:val="en-US" w:bidi="en-US"/>
        </w:rPr>
        <w:t>atters.</w:t>
      </w:r>
      <w:r w:rsidRPr="00413FEF">
        <w:rPr>
          <w:lang w:val="en-US" w:bidi="en-US"/>
        </w:rPr>
        <w:t xml:space="preserve"> Oxford University Press.</w:t>
      </w:r>
    </w:p>
    <w:p w14:paraId="6CFD85F3" w14:textId="1E64D95C" w:rsidR="00887227" w:rsidRPr="00413FEF" w:rsidRDefault="00887227" w:rsidP="00947ED3">
      <w:pPr>
        <w:spacing w:line="360" w:lineRule="auto"/>
        <w:rPr>
          <w:lang w:val="en-US" w:bidi="en-US"/>
        </w:rPr>
      </w:pPr>
      <w:r w:rsidRPr="00413FEF">
        <w:rPr>
          <w:lang w:val="en-US" w:bidi="en-US"/>
        </w:rPr>
        <w:t>Nickel, P.</w:t>
      </w:r>
      <w:r w:rsidR="004C0743">
        <w:rPr>
          <w:lang w:val="en-US" w:bidi="en-US"/>
        </w:rPr>
        <w:t xml:space="preserve"> </w:t>
      </w:r>
      <w:r w:rsidRPr="00413FEF">
        <w:rPr>
          <w:lang w:val="en-US" w:bidi="en-US"/>
        </w:rPr>
        <w:t>J. (2007</w:t>
      </w:r>
      <w:r w:rsidR="0079296A" w:rsidRPr="00413FEF">
        <w:rPr>
          <w:lang w:val="en-US" w:bidi="en-US"/>
        </w:rPr>
        <w:t>)</w:t>
      </w:r>
      <w:r w:rsidR="004C0743">
        <w:rPr>
          <w:lang w:val="en-US" w:bidi="en-US"/>
        </w:rPr>
        <w:t>.</w:t>
      </w:r>
      <w:r w:rsidRPr="00413FEF">
        <w:rPr>
          <w:lang w:val="en-US" w:bidi="en-US"/>
        </w:rPr>
        <w:t xml:space="preserve"> Trust and </w:t>
      </w:r>
      <w:r w:rsidR="004C0743">
        <w:rPr>
          <w:lang w:val="en-US" w:bidi="en-US"/>
        </w:rPr>
        <w:t>o</w:t>
      </w:r>
      <w:r w:rsidRPr="00413FEF">
        <w:rPr>
          <w:lang w:val="en-US" w:bidi="en-US"/>
        </w:rPr>
        <w:t>bligation-</w:t>
      </w:r>
      <w:r w:rsidR="004C0743">
        <w:rPr>
          <w:lang w:val="en-US" w:bidi="en-US"/>
        </w:rPr>
        <w:t>a</w:t>
      </w:r>
      <w:r w:rsidRPr="00413FEF">
        <w:rPr>
          <w:lang w:val="en-US" w:bidi="en-US"/>
        </w:rPr>
        <w:t xml:space="preserve">scription. </w:t>
      </w:r>
      <w:r w:rsidRPr="004756F6">
        <w:rPr>
          <w:i/>
          <w:lang w:val="en-US" w:bidi="en-US"/>
        </w:rPr>
        <w:t>Ethical Theory and Moral Practice</w:t>
      </w:r>
      <w:r w:rsidRPr="00413FEF">
        <w:rPr>
          <w:lang w:val="en-US" w:bidi="en-US"/>
        </w:rPr>
        <w:t xml:space="preserve">, </w:t>
      </w:r>
      <w:r w:rsidRPr="004756F6">
        <w:rPr>
          <w:i/>
          <w:lang w:val="en-US" w:bidi="en-US"/>
        </w:rPr>
        <w:t>10</w:t>
      </w:r>
      <w:r w:rsidRPr="00413FEF">
        <w:rPr>
          <w:lang w:val="en-US" w:bidi="en-US"/>
        </w:rPr>
        <w:t>(3), 309-319.</w:t>
      </w:r>
    </w:p>
    <w:p w14:paraId="5508ACB8" w14:textId="6E89ED44" w:rsidR="00887227" w:rsidRPr="00413FEF" w:rsidRDefault="00887227" w:rsidP="00AF4781">
      <w:pPr>
        <w:spacing w:line="360" w:lineRule="auto"/>
        <w:rPr>
          <w:lang w:val="en-GB" w:bidi="en-US"/>
        </w:rPr>
      </w:pPr>
      <w:r w:rsidRPr="00413FEF">
        <w:rPr>
          <w:lang w:val="en-US" w:bidi="en-US"/>
        </w:rPr>
        <w:t>Nickel, P.</w:t>
      </w:r>
      <w:r w:rsidR="004C0743">
        <w:rPr>
          <w:lang w:val="en-US" w:bidi="en-US"/>
        </w:rPr>
        <w:t xml:space="preserve"> </w:t>
      </w:r>
      <w:r w:rsidRPr="00413FEF">
        <w:rPr>
          <w:lang w:val="en-US" w:bidi="en-US"/>
        </w:rPr>
        <w:t>J. and Frank, L. (2020)</w:t>
      </w:r>
      <w:r w:rsidR="004C0743">
        <w:rPr>
          <w:lang w:val="en-US" w:bidi="en-US"/>
        </w:rPr>
        <w:t>.</w:t>
      </w:r>
      <w:r w:rsidRPr="00413FEF">
        <w:rPr>
          <w:lang w:val="en-US" w:bidi="en-US"/>
        </w:rPr>
        <w:t xml:space="preserve"> </w:t>
      </w:r>
      <w:r w:rsidRPr="00413FEF">
        <w:t xml:space="preserve">Trust in </w:t>
      </w:r>
      <w:r w:rsidR="00F5066C">
        <w:t>m</w:t>
      </w:r>
      <w:r w:rsidRPr="00413FEF">
        <w:t>edicine.</w:t>
      </w:r>
      <w:r w:rsidRPr="00413FEF">
        <w:rPr>
          <w:lang w:val="en-GB" w:bidi="en-US"/>
        </w:rPr>
        <w:t> In Judith Simon (</w:t>
      </w:r>
      <w:r w:rsidR="00F5066C">
        <w:rPr>
          <w:lang w:val="en-GB" w:bidi="en-US"/>
        </w:rPr>
        <w:t>E</w:t>
      </w:r>
      <w:r w:rsidRPr="00413FEF">
        <w:rPr>
          <w:lang w:val="en-GB" w:bidi="en-US"/>
        </w:rPr>
        <w:t>d.)</w:t>
      </w:r>
      <w:r w:rsidR="00F5066C">
        <w:rPr>
          <w:lang w:val="en-GB" w:bidi="en-US"/>
        </w:rPr>
        <w:t>.</w:t>
      </w:r>
      <w:r w:rsidRPr="00413FEF">
        <w:rPr>
          <w:lang w:val="en-GB" w:bidi="en-US"/>
        </w:rPr>
        <w:t> </w:t>
      </w:r>
      <w:hyperlink r:id="rId15" w:history="1">
        <w:r w:rsidRPr="00413FEF">
          <w:rPr>
            <w:rStyle w:val="Hyperlink"/>
            <w:i/>
            <w:iCs/>
            <w:lang w:val="en-GB" w:bidi="en-US"/>
          </w:rPr>
          <w:t xml:space="preserve">The Routledge </w:t>
        </w:r>
        <w:r w:rsidR="003D6E76">
          <w:rPr>
            <w:rStyle w:val="Hyperlink"/>
            <w:i/>
            <w:iCs/>
            <w:lang w:val="en-GB" w:bidi="en-US"/>
          </w:rPr>
          <w:t>h</w:t>
        </w:r>
        <w:r w:rsidRPr="00413FEF">
          <w:rPr>
            <w:rStyle w:val="Hyperlink"/>
            <w:i/>
            <w:iCs/>
            <w:lang w:val="en-GB" w:bidi="en-US"/>
          </w:rPr>
          <w:t xml:space="preserve">andbook of </w:t>
        </w:r>
        <w:r w:rsidR="003D6E76">
          <w:rPr>
            <w:rStyle w:val="Hyperlink"/>
            <w:i/>
            <w:iCs/>
            <w:lang w:val="en-GB" w:bidi="en-US"/>
          </w:rPr>
          <w:t>t</w:t>
        </w:r>
        <w:r w:rsidRPr="00413FEF">
          <w:rPr>
            <w:rStyle w:val="Hyperlink"/>
            <w:i/>
            <w:iCs/>
            <w:lang w:val="en-GB" w:bidi="en-US"/>
          </w:rPr>
          <w:t xml:space="preserve">rust and </w:t>
        </w:r>
        <w:r w:rsidR="003D6E76">
          <w:rPr>
            <w:rStyle w:val="Hyperlink"/>
            <w:i/>
            <w:iCs/>
            <w:lang w:val="en-GB" w:bidi="en-US"/>
          </w:rPr>
          <w:t>p</w:t>
        </w:r>
        <w:r w:rsidRPr="00413FEF">
          <w:rPr>
            <w:rStyle w:val="Hyperlink"/>
            <w:i/>
            <w:iCs/>
            <w:lang w:val="en-GB" w:bidi="en-US"/>
          </w:rPr>
          <w:t>hilosophy</w:t>
        </w:r>
      </w:hyperlink>
      <w:r w:rsidRPr="00413FEF">
        <w:rPr>
          <w:lang w:val="en-GB" w:bidi="en-US"/>
        </w:rPr>
        <w:t>. Routledge.</w:t>
      </w:r>
    </w:p>
    <w:p w14:paraId="01E91B96" w14:textId="78D8A318" w:rsidR="00AB7704" w:rsidRDefault="00887227" w:rsidP="00887227">
      <w:pPr>
        <w:spacing w:line="360" w:lineRule="auto"/>
        <w:rPr>
          <w:lang w:val="en-US" w:bidi="en-US"/>
        </w:rPr>
      </w:pPr>
      <w:r w:rsidRPr="00413FEF">
        <w:t xml:space="preserve">Noonan, H. </w:t>
      </w:r>
      <w:r w:rsidR="0079296A" w:rsidRPr="00413FEF">
        <w:t>(</w:t>
      </w:r>
      <w:r w:rsidRPr="00413FEF">
        <w:t>2021</w:t>
      </w:r>
      <w:r w:rsidR="0079296A" w:rsidRPr="00413FEF">
        <w:t>)</w:t>
      </w:r>
      <w:r w:rsidR="001E5EBF">
        <w:t>.</w:t>
      </w:r>
      <w:r w:rsidRPr="00413FEF">
        <w:t xml:space="preserve"> No trust is hybrid: reply to Faulkner</w:t>
      </w:r>
      <w:r w:rsidR="001E5EBF">
        <w:t>.</w:t>
      </w:r>
      <w:r w:rsidRPr="00413FEF">
        <w:t xml:space="preserve"> </w:t>
      </w:r>
      <w:r w:rsidRPr="00413FEF">
        <w:rPr>
          <w:i/>
          <w:iCs/>
        </w:rPr>
        <w:t>Philosophia</w:t>
      </w:r>
      <w:r w:rsidR="001E5EBF">
        <w:rPr>
          <w:i/>
          <w:iCs/>
        </w:rPr>
        <w:t xml:space="preserve"> </w:t>
      </w:r>
      <w:r w:rsidRPr="00413FEF">
        <w:rPr>
          <w:lang w:val="en-US" w:bidi="en-US"/>
        </w:rPr>
        <w:t>Alfano</w:t>
      </w:r>
      <w:r w:rsidR="00AB7704">
        <w:rPr>
          <w:lang w:val="en-US" w:bidi="en-US"/>
        </w:rPr>
        <w:t>.</w:t>
      </w:r>
      <w:r w:rsidRPr="00413FEF">
        <w:rPr>
          <w:lang w:val="en-US" w:bidi="en-US"/>
        </w:rPr>
        <w:t xml:space="preserve"> </w:t>
      </w:r>
    </w:p>
    <w:p w14:paraId="6F0518D6" w14:textId="4C26B7CA" w:rsidR="00887227" w:rsidRPr="00413FEF" w:rsidRDefault="00887227" w:rsidP="00947ED3">
      <w:pPr>
        <w:spacing w:line="360" w:lineRule="auto"/>
        <w:rPr>
          <w:lang w:val="en-US" w:bidi="en-US"/>
        </w:rPr>
      </w:pPr>
      <w:r w:rsidRPr="00413FEF">
        <w:rPr>
          <w:lang w:val="en-US" w:bidi="en-US"/>
        </w:rPr>
        <w:t>O’Neill, O. (2002)</w:t>
      </w:r>
      <w:r w:rsidR="0061791D">
        <w:rPr>
          <w:lang w:val="en-US" w:bidi="en-US"/>
        </w:rPr>
        <w:t>.</w:t>
      </w:r>
      <w:r w:rsidRPr="00413FEF">
        <w:rPr>
          <w:lang w:val="en-GB" w:bidi="en-US"/>
        </w:rPr>
        <w:t xml:space="preserve"> </w:t>
      </w:r>
      <w:r w:rsidRPr="00413FEF">
        <w:rPr>
          <w:i/>
          <w:iCs/>
          <w:lang w:val="en-GB" w:bidi="en-US"/>
        </w:rPr>
        <w:t xml:space="preserve">Autonomy and </w:t>
      </w:r>
      <w:r w:rsidR="00AA2F94">
        <w:rPr>
          <w:i/>
          <w:iCs/>
          <w:lang w:val="en-GB" w:bidi="en-US"/>
        </w:rPr>
        <w:t>t</w:t>
      </w:r>
      <w:r w:rsidRPr="00413FEF">
        <w:rPr>
          <w:i/>
          <w:iCs/>
          <w:lang w:val="en-GB" w:bidi="en-US"/>
        </w:rPr>
        <w:t xml:space="preserve">rust in </w:t>
      </w:r>
      <w:r w:rsidR="00AA2F94">
        <w:rPr>
          <w:i/>
          <w:iCs/>
          <w:lang w:val="en-GB" w:bidi="en-US"/>
        </w:rPr>
        <w:t>b</w:t>
      </w:r>
      <w:r w:rsidRPr="00413FEF">
        <w:rPr>
          <w:i/>
          <w:iCs/>
          <w:lang w:val="en-GB" w:bidi="en-US"/>
        </w:rPr>
        <w:t>ioethics</w:t>
      </w:r>
      <w:r w:rsidR="00AA2F94">
        <w:rPr>
          <w:lang w:val="en-GB" w:bidi="en-US"/>
        </w:rPr>
        <w:t>.</w:t>
      </w:r>
      <w:r w:rsidRPr="00413FEF">
        <w:rPr>
          <w:lang w:val="en-GB" w:bidi="en-US"/>
        </w:rPr>
        <w:t xml:space="preserve"> Cambridge University Press. doi:10.1017/CBO9780511606250</w:t>
      </w:r>
    </w:p>
    <w:p w14:paraId="7F4CEBFD" w14:textId="08D7F53C" w:rsidR="00887227" w:rsidRPr="00413FEF" w:rsidRDefault="00887227" w:rsidP="00947ED3">
      <w:pPr>
        <w:spacing w:line="360" w:lineRule="auto"/>
        <w:rPr>
          <w:lang w:val="en-US" w:bidi="en-US"/>
        </w:rPr>
      </w:pPr>
      <w:proofErr w:type="spellStart"/>
      <w:r w:rsidRPr="00413FEF">
        <w:rPr>
          <w:lang w:val="en-US" w:bidi="en-US"/>
        </w:rPr>
        <w:t>Oberauer</w:t>
      </w:r>
      <w:proofErr w:type="spellEnd"/>
      <w:r w:rsidRPr="00413FEF">
        <w:rPr>
          <w:lang w:val="en-US" w:bidi="en-US"/>
        </w:rPr>
        <w:t xml:space="preserve">, </w:t>
      </w:r>
      <w:r w:rsidR="00F657F6" w:rsidRPr="00413FEF">
        <w:rPr>
          <w:lang w:val="en-US" w:bidi="en-US"/>
        </w:rPr>
        <w:t>K.</w:t>
      </w:r>
      <w:r w:rsidRPr="00413FEF">
        <w:rPr>
          <w:lang w:val="en-US" w:bidi="en-US"/>
        </w:rPr>
        <w:t xml:space="preserve">, </w:t>
      </w:r>
      <w:r w:rsidR="00AA2F94">
        <w:rPr>
          <w:lang w:val="en-US" w:bidi="en-US"/>
        </w:rPr>
        <w:t>&amp;</w:t>
      </w:r>
      <w:r w:rsidR="00AA2F94" w:rsidRPr="00413FEF">
        <w:rPr>
          <w:lang w:val="en-US" w:bidi="en-US"/>
        </w:rPr>
        <w:t xml:space="preserve"> </w:t>
      </w:r>
      <w:r w:rsidRPr="00413FEF">
        <w:rPr>
          <w:lang w:val="en-US" w:bidi="en-US"/>
        </w:rPr>
        <w:t>Lewandowsky</w:t>
      </w:r>
      <w:r w:rsidR="00AA2F94">
        <w:rPr>
          <w:lang w:val="en-US" w:bidi="en-US"/>
        </w:rPr>
        <w:t xml:space="preserve"> S.</w:t>
      </w:r>
      <w:r w:rsidRPr="00413FEF">
        <w:rPr>
          <w:lang w:val="en-US" w:bidi="en-US"/>
        </w:rPr>
        <w:t xml:space="preserve"> </w:t>
      </w:r>
      <w:r w:rsidR="00F657F6" w:rsidRPr="00413FEF">
        <w:rPr>
          <w:lang w:val="en-US" w:bidi="en-US"/>
        </w:rPr>
        <w:t>(</w:t>
      </w:r>
      <w:r w:rsidRPr="00413FEF">
        <w:rPr>
          <w:lang w:val="en-US" w:bidi="en-US"/>
        </w:rPr>
        <w:t>2016</w:t>
      </w:r>
      <w:r w:rsidR="00F657F6" w:rsidRPr="00413FEF">
        <w:rPr>
          <w:lang w:val="en-US" w:bidi="en-US"/>
        </w:rPr>
        <w:t>)</w:t>
      </w:r>
      <w:r w:rsidR="00AA2F94">
        <w:rPr>
          <w:lang w:val="en-US" w:bidi="en-US"/>
        </w:rPr>
        <w:t>.</w:t>
      </w:r>
      <w:r w:rsidRPr="00413FEF">
        <w:rPr>
          <w:lang w:val="en-US" w:bidi="en-US"/>
        </w:rPr>
        <w:t xml:space="preserve"> Control of </w:t>
      </w:r>
      <w:r w:rsidR="00AA2F94">
        <w:rPr>
          <w:lang w:val="en-US" w:bidi="en-US"/>
        </w:rPr>
        <w:t>i</w:t>
      </w:r>
      <w:r w:rsidRPr="00413FEF">
        <w:rPr>
          <w:lang w:val="en-US" w:bidi="en-US"/>
        </w:rPr>
        <w:t xml:space="preserve">nformation in </w:t>
      </w:r>
      <w:r w:rsidR="00AA2F94">
        <w:rPr>
          <w:lang w:val="en-US" w:bidi="en-US"/>
        </w:rPr>
        <w:t>w</w:t>
      </w:r>
      <w:r w:rsidRPr="00413FEF">
        <w:rPr>
          <w:lang w:val="en-US" w:bidi="en-US"/>
        </w:rPr>
        <w:t xml:space="preserve">orking </w:t>
      </w:r>
      <w:r w:rsidR="00AA2F94">
        <w:rPr>
          <w:lang w:val="en-US" w:bidi="en-US"/>
        </w:rPr>
        <w:t>m</w:t>
      </w:r>
      <w:r w:rsidRPr="00413FEF">
        <w:rPr>
          <w:lang w:val="en-US" w:bidi="en-US"/>
        </w:rPr>
        <w:t xml:space="preserve">emory: Encoding and </w:t>
      </w:r>
      <w:r w:rsidR="00AA2F94">
        <w:rPr>
          <w:lang w:val="en-US" w:bidi="en-US"/>
        </w:rPr>
        <w:t>r</w:t>
      </w:r>
      <w:r w:rsidRPr="00413FEF">
        <w:rPr>
          <w:lang w:val="en-US" w:bidi="en-US"/>
        </w:rPr>
        <w:t xml:space="preserve">emoval of </w:t>
      </w:r>
      <w:r w:rsidR="00AA2F94">
        <w:rPr>
          <w:lang w:val="en-US" w:bidi="en-US"/>
        </w:rPr>
        <w:t>d</w:t>
      </w:r>
      <w:r w:rsidRPr="00413FEF">
        <w:rPr>
          <w:lang w:val="en-US" w:bidi="en-US"/>
        </w:rPr>
        <w:t xml:space="preserve">istractors in the </w:t>
      </w:r>
      <w:r w:rsidR="00AA2F94">
        <w:rPr>
          <w:lang w:val="en-US" w:bidi="en-US"/>
        </w:rPr>
        <w:t>c</w:t>
      </w:r>
      <w:r w:rsidRPr="00413FEF">
        <w:rPr>
          <w:lang w:val="en-US" w:bidi="en-US"/>
        </w:rPr>
        <w:t>omplex-</w:t>
      </w:r>
      <w:r w:rsidR="00AA2F94">
        <w:rPr>
          <w:lang w:val="en-US" w:bidi="en-US"/>
        </w:rPr>
        <w:t>s</w:t>
      </w:r>
      <w:r w:rsidRPr="00413FEF">
        <w:rPr>
          <w:lang w:val="en-US" w:bidi="en-US"/>
        </w:rPr>
        <w:t xml:space="preserve">pan </w:t>
      </w:r>
      <w:r w:rsidR="00AA2F94">
        <w:rPr>
          <w:lang w:val="en-US" w:bidi="en-US"/>
        </w:rPr>
        <w:t>p</w:t>
      </w:r>
      <w:r w:rsidRPr="00413FEF">
        <w:rPr>
          <w:lang w:val="en-US" w:bidi="en-US"/>
        </w:rPr>
        <w:t xml:space="preserve">aradigm. </w:t>
      </w:r>
      <w:r w:rsidRPr="00413FEF">
        <w:rPr>
          <w:i/>
          <w:iCs/>
          <w:lang w:val="en-US" w:bidi="en-US"/>
        </w:rPr>
        <w:t>Cognition</w:t>
      </w:r>
      <w:r w:rsidR="00AA2F94">
        <w:rPr>
          <w:i/>
          <w:iCs/>
          <w:lang w:val="en-US" w:bidi="en-US"/>
        </w:rPr>
        <w:t>,</w:t>
      </w:r>
      <w:r w:rsidRPr="00413FEF">
        <w:rPr>
          <w:lang w:val="en-US" w:bidi="en-US"/>
        </w:rPr>
        <w:t xml:space="preserve"> </w:t>
      </w:r>
      <w:r w:rsidRPr="004756F6">
        <w:rPr>
          <w:i/>
          <w:lang w:val="en-US" w:bidi="en-US"/>
        </w:rPr>
        <w:t>156</w:t>
      </w:r>
      <w:r w:rsidR="00AA2F94">
        <w:rPr>
          <w:lang w:val="en-US" w:bidi="en-US"/>
        </w:rPr>
        <w:t>,</w:t>
      </w:r>
      <w:r w:rsidRPr="00413FEF">
        <w:rPr>
          <w:lang w:val="en-US" w:bidi="en-US"/>
        </w:rPr>
        <w:t xml:space="preserve"> 106–28. https://doi.org/10.1016/j.cognition.2016.08.007</w:t>
      </w:r>
    </w:p>
    <w:p w14:paraId="45063867" w14:textId="6F40BE7C" w:rsidR="00887227" w:rsidRPr="00413FEF" w:rsidRDefault="00887227" w:rsidP="00947ED3">
      <w:pPr>
        <w:spacing w:line="360" w:lineRule="auto"/>
        <w:rPr>
          <w:lang w:val="en-US" w:bidi="en-US"/>
        </w:rPr>
      </w:pPr>
      <w:r w:rsidRPr="00413FEF">
        <w:rPr>
          <w:lang w:val="en-US" w:bidi="en-US"/>
        </w:rPr>
        <w:t>Oreskes, N. (2019)</w:t>
      </w:r>
      <w:r w:rsidR="00AA2F94">
        <w:rPr>
          <w:lang w:val="en-US" w:bidi="en-US"/>
        </w:rPr>
        <w:t>.</w:t>
      </w:r>
      <w:r w:rsidRPr="00413FEF">
        <w:rPr>
          <w:lang w:val="en-US" w:bidi="en-US"/>
        </w:rPr>
        <w:t xml:space="preserve"> </w:t>
      </w:r>
      <w:r w:rsidRPr="00413FEF">
        <w:rPr>
          <w:i/>
          <w:iCs/>
          <w:lang w:val="en-US" w:bidi="en-US"/>
        </w:rPr>
        <w:t xml:space="preserve">Why </w:t>
      </w:r>
      <w:r w:rsidR="00AA2F94">
        <w:rPr>
          <w:i/>
          <w:iCs/>
          <w:lang w:val="en-US" w:bidi="en-US"/>
        </w:rPr>
        <w:t>t</w:t>
      </w:r>
      <w:r w:rsidRPr="00413FEF">
        <w:rPr>
          <w:i/>
          <w:iCs/>
          <w:lang w:val="en-US" w:bidi="en-US"/>
        </w:rPr>
        <w:t xml:space="preserve">rust </w:t>
      </w:r>
      <w:proofErr w:type="spellStart"/>
      <w:r w:rsidR="00AA2F94">
        <w:rPr>
          <w:i/>
          <w:iCs/>
          <w:lang w:val="en-US" w:bidi="en-US"/>
        </w:rPr>
        <w:t>s</w:t>
      </w:r>
      <w:r w:rsidRPr="00413FEF">
        <w:rPr>
          <w:i/>
          <w:iCs/>
          <w:lang w:val="en-US" w:bidi="en-US"/>
        </w:rPr>
        <w:t>cience</w:t>
      </w:r>
      <w:r w:rsidRPr="00413FEF">
        <w:rPr>
          <w:lang w:val="en-US" w:bidi="en-US"/>
        </w:rPr>
        <w:t>Princeton</w:t>
      </w:r>
      <w:proofErr w:type="spellEnd"/>
      <w:r w:rsidRPr="00413FEF">
        <w:rPr>
          <w:lang w:val="en-US" w:bidi="en-US"/>
        </w:rPr>
        <w:t xml:space="preserve"> University Press.</w:t>
      </w:r>
    </w:p>
    <w:p w14:paraId="1AAEAC0D" w14:textId="4DD84F3F" w:rsidR="00887227" w:rsidRPr="00413FEF" w:rsidRDefault="00887227" w:rsidP="00947ED3">
      <w:pPr>
        <w:spacing w:line="360" w:lineRule="auto"/>
        <w:rPr>
          <w:lang w:val="en-US" w:bidi="en-US"/>
        </w:rPr>
      </w:pPr>
      <w:r w:rsidRPr="00413FEF">
        <w:rPr>
          <w:lang w:val="en-US" w:bidi="en-US"/>
        </w:rPr>
        <w:lastRenderedPageBreak/>
        <w:t>Origgi, G. (2019)</w:t>
      </w:r>
      <w:r w:rsidR="00AA2F94">
        <w:rPr>
          <w:lang w:val="en-US" w:bidi="en-US"/>
        </w:rPr>
        <w:t>.</w:t>
      </w:r>
      <w:r w:rsidRPr="00413FEF">
        <w:rPr>
          <w:lang w:val="en-US" w:bidi="en-US"/>
        </w:rPr>
        <w:t xml:space="preserve"> </w:t>
      </w:r>
      <w:r w:rsidRPr="00413FEF">
        <w:rPr>
          <w:i/>
          <w:iCs/>
          <w:lang w:val="en-US" w:bidi="en-US"/>
        </w:rPr>
        <w:t xml:space="preserve">Reputation: What </w:t>
      </w:r>
      <w:r w:rsidR="00AA2F94">
        <w:rPr>
          <w:i/>
          <w:iCs/>
          <w:lang w:val="en-US" w:bidi="en-US"/>
        </w:rPr>
        <w:t>i</w:t>
      </w:r>
      <w:r w:rsidRPr="00413FEF">
        <w:rPr>
          <w:i/>
          <w:iCs/>
          <w:lang w:val="en-US" w:bidi="en-US"/>
        </w:rPr>
        <w:t xml:space="preserve">t </w:t>
      </w:r>
      <w:r w:rsidR="00AA2F94">
        <w:rPr>
          <w:i/>
          <w:iCs/>
          <w:lang w:val="en-US" w:bidi="en-US"/>
        </w:rPr>
        <w:t>i</w:t>
      </w:r>
      <w:r w:rsidRPr="00413FEF">
        <w:rPr>
          <w:i/>
          <w:iCs/>
          <w:lang w:val="en-US" w:bidi="en-US"/>
        </w:rPr>
        <w:t xml:space="preserve">s and </w:t>
      </w:r>
      <w:r w:rsidR="00AA2F94">
        <w:rPr>
          <w:i/>
          <w:iCs/>
          <w:lang w:val="en-US" w:bidi="en-US"/>
        </w:rPr>
        <w:t>w</w:t>
      </w:r>
      <w:r w:rsidRPr="00413FEF">
        <w:rPr>
          <w:i/>
          <w:iCs/>
          <w:lang w:val="en-US" w:bidi="en-US"/>
        </w:rPr>
        <w:t xml:space="preserve">hy </w:t>
      </w:r>
      <w:r w:rsidR="00AA2F94">
        <w:rPr>
          <w:i/>
          <w:iCs/>
          <w:lang w:val="en-US" w:bidi="en-US"/>
        </w:rPr>
        <w:t>i</w:t>
      </w:r>
      <w:r w:rsidRPr="00413FEF">
        <w:rPr>
          <w:i/>
          <w:iCs/>
          <w:lang w:val="en-US" w:bidi="en-US"/>
        </w:rPr>
        <w:t xml:space="preserve">t </w:t>
      </w:r>
      <w:r w:rsidR="00AA2F94">
        <w:rPr>
          <w:i/>
          <w:iCs/>
          <w:lang w:val="en-US" w:bidi="en-US"/>
        </w:rPr>
        <w:t>m</w:t>
      </w:r>
      <w:r w:rsidRPr="00413FEF">
        <w:rPr>
          <w:i/>
          <w:iCs/>
          <w:lang w:val="en-US" w:bidi="en-US"/>
        </w:rPr>
        <w:t>atters</w:t>
      </w:r>
      <w:r w:rsidRPr="00413FEF">
        <w:rPr>
          <w:lang w:val="en-US" w:bidi="en-US"/>
        </w:rPr>
        <w:t>. Princeton University Press.</w:t>
      </w:r>
    </w:p>
    <w:p w14:paraId="3A0B2007" w14:textId="7E64F40E" w:rsidR="00887227" w:rsidRPr="00413FEF" w:rsidRDefault="00887227" w:rsidP="00947ED3">
      <w:pPr>
        <w:spacing w:line="360" w:lineRule="auto"/>
        <w:rPr>
          <w:lang w:val="en-GB" w:bidi="en-US"/>
        </w:rPr>
      </w:pPr>
      <w:r w:rsidRPr="00413FEF">
        <w:rPr>
          <w:lang w:val="en-GB" w:bidi="en-US"/>
        </w:rPr>
        <w:t xml:space="preserve">Oughton, D. et al. </w:t>
      </w:r>
      <w:r w:rsidR="0079296A" w:rsidRPr="00413FEF">
        <w:rPr>
          <w:lang w:val="en-GB" w:bidi="en-US"/>
        </w:rPr>
        <w:t>(</w:t>
      </w:r>
      <w:r w:rsidRPr="00413FEF">
        <w:rPr>
          <w:lang w:val="en-GB" w:bidi="en-US"/>
        </w:rPr>
        <w:t>2004</w:t>
      </w:r>
      <w:r w:rsidR="0079296A" w:rsidRPr="00413FEF">
        <w:rPr>
          <w:lang w:val="en-GB" w:bidi="en-US"/>
        </w:rPr>
        <w:t>)</w:t>
      </w:r>
      <w:r w:rsidR="00A90E28">
        <w:rPr>
          <w:lang w:val="en-GB" w:bidi="en-US"/>
        </w:rPr>
        <w:t>.</w:t>
      </w:r>
      <w:r w:rsidRPr="00413FEF">
        <w:rPr>
          <w:lang w:val="en-GB" w:bidi="en-US"/>
        </w:rPr>
        <w:t xml:space="preserve"> An ethical dimension to sustainable restoration and long-term management of contaminated areas. </w:t>
      </w:r>
      <w:r w:rsidRPr="00413FEF">
        <w:rPr>
          <w:i/>
          <w:iCs/>
          <w:lang w:val="en-GB" w:bidi="en-US"/>
        </w:rPr>
        <w:t>Journal of Environmental Radioactivity</w:t>
      </w:r>
      <w:r w:rsidR="00A90E28">
        <w:rPr>
          <w:i/>
          <w:iCs/>
          <w:lang w:val="en-GB" w:bidi="en-US"/>
        </w:rPr>
        <w:t>,</w:t>
      </w:r>
      <w:r w:rsidRPr="00413FEF">
        <w:rPr>
          <w:lang w:val="en-GB" w:bidi="en-US"/>
        </w:rPr>
        <w:t xml:space="preserve"> </w:t>
      </w:r>
      <w:r w:rsidRPr="004756F6">
        <w:rPr>
          <w:i/>
          <w:lang w:val="en-GB" w:bidi="en-US"/>
        </w:rPr>
        <w:t>74</w:t>
      </w:r>
      <w:r w:rsidRPr="00413FEF">
        <w:rPr>
          <w:lang w:val="en-GB" w:bidi="en-US"/>
        </w:rPr>
        <w:t>(1-3), 171-183.</w:t>
      </w:r>
    </w:p>
    <w:p w14:paraId="03761354" w14:textId="01F3CAEE" w:rsidR="00457A15" w:rsidRPr="00413FEF" w:rsidRDefault="00457A15" w:rsidP="00457A15">
      <w:pPr>
        <w:spacing w:line="360" w:lineRule="auto"/>
        <w:rPr>
          <w:lang w:val="en-GB" w:bidi="en-US"/>
        </w:rPr>
      </w:pPr>
      <w:r w:rsidRPr="00413FEF">
        <w:rPr>
          <w:lang w:val="en-GB" w:bidi="en-US"/>
        </w:rPr>
        <w:t>Popa, E. (2024)</w:t>
      </w:r>
      <w:r w:rsidR="00A90E28">
        <w:rPr>
          <w:lang w:val="en-GB" w:bidi="en-US"/>
        </w:rPr>
        <w:t>,</w:t>
      </w:r>
      <w:r w:rsidRPr="00413FEF">
        <w:rPr>
          <w:lang w:val="en-GB" w:bidi="en-US"/>
        </w:rPr>
        <w:t xml:space="preserve"> Values in public health: an argument from trust. </w:t>
      </w:r>
      <w:r w:rsidRPr="00413FEF">
        <w:rPr>
          <w:i/>
          <w:iCs/>
          <w:lang w:val="en-GB" w:bidi="en-US"/>
        </w:rPr>
        <w:t>Synthese</w:t>
      </w:r>
      <w:r w:rsidR="00A90E28">
        <w:rPr>
          <w:i/>
          <w:iCs/>
          <w:lang w:val="en-GB" w:bidi="en-US"/>
        </w:rPr>
        <w:t>,</w:t>
      </w:r>
      <w:r w:rsidRPr="00413FEF">
        <w:rPr>
          <w:lang w:val="en-GB" w:bidi="en-US"/>
        </w:rPr>
        <w:t> </w:t>
      </w:r>
      <w:r w:rsidRPr="004756F6">
        <w:rPr>
          <w:bCs/>
          <w:lang w:val="en-GB" w:bidi="en-US"/>
        </w:rPr>
        <w:t>203</w:t>
      </w:r>
      <w:r w:rsidR="00A90E28">
        <w:rPr>
          <w:lang w:val="en-GB" w:bidi="en-US"/>
        </w:rPr>
        <w:t>,</w:t>
      </w:r>
      <w:r w:rsidRPr="00413FEF">
        <w:rPr>
          <w:lang w:val="en-GB" w:bidi="en-US"/>
        </w:rPr>
        <w:t xml:space="preserve"> 200. https://doi.org/10.1007/s11229-024-04650-8</w:t>
      </w:r>
    </w:p>
    <w:p w14:paraId="5F80A8B7" w14:textId="3453F04F" w:rsidR="00887227" w:rsidRPr="00413FEF" w:rsidRDefault="00887227" w:rsidP="00947ED3">
      <w:pPr>
        <w:spacing w:line="360" w:lineRule="auto"/>
        <w:rPr>
          <w:lang w:val="en-GB" w:bidi="en-US"/>
        </w:rPr>
      </w:pPr>
      <w:r w:rsidRPr="00413FEF">
        <w:rPr>
          <w:lang w:val="en-GB" w:bidi="en-US"/>
        </w:rPr>
        <w:t>Potter, N</w:t>
      </w:r>
      <w:r w:rsidR="005D7719">
        <w:rPr>
          <w:lang w:val="en-GB" w:bidi="en-US"/>
        </w:rPr>
        <w:t>.</w:t>
      </w:r>
      <w:r w:rsidRPr="00413FEF">
        <w:rPr>
          <w:lang w:val="en-GB" w:bidi="en-US"/>
        </w:rPr>
        <w:t xml:space="preserve"> N</w:t>
      </w:r>
      <w:r w:rsidR="005D7719">
        <w:rPr>
          <w:lang w:val="en-GB" w:bidi="en-US"/>
        </w:rPr>
        <w:t>.</w:t>
      </w:r>
      <w:r w:rsidRPr="00413FEF">
        <w:rPr>
          <w:lang w:val="en-GB" w:bidi="en-US"/>
        </w:rPr>
        <w:t xml:space="preserve"> </w:t>
      </w:r>
      <w:r w:rsidR="0079296A" w:rsidRPr="00413FEF">
        <w:rPr>
          <w:lang w:val="en-GB" w:bidi="en-US"/>
        </w:rPr>
        <w:t>(</w:t>
      </w:r>
      <w:r w:rsidRPr="00413FEF">
        <w:rPr>
          <w:lang w:val="en-GB" w:bidi="en-US"/>
        </w:rPr>
        <w:t>2002</w:t>
      </w:r>
      <w:r w:rsidR="0079296A" w:rsidRPr="00413FEF">
        <w:rPr>
          <w:lang w:val="en-GB" w:bidi="en-US"/>
        </w:rPr>
        <w:t>)</w:t>
      </w:r>
      <w:r w:rsidR="005D7719">
        <w:rPr>
          <w:lang w:val="en-GB" w:bidi="en-US"/>
        </w:rPr>
        <w:t>.</w:t>
      </w:r>
      <w:r w:rsidRPr="00413FEF">
        <w:rPr>
          <w:lang w:val="en-GB" w:bidi="en-US"/>
        </w:rPr>
        <w:t> </w:t>
      </w:r>
      <w:r w:rsidRPr="00413FEF">
        <w:rPr>
          <w:i/>
          <w:iCs/>
          <w:lang w:val="en-GB" w:bidi="en-US"/>
        </w:rPr>
        <w:t xml:space="preserve">How </w:t>
      </w:r>
      <w:r w:rsidR="005D7719">
        <w:rPr>
          <w:i/>
          <w:iCs/>
          <w:lang w:val="en-GB" w:bidi="en-US"/>
        </w:rPr>
        <w:t>c</w:t>
      </w:r>
      <w:r w:rsidRPr="00413FEF">
        <w:rPr>
          <w:i/>
          <w:iCs/>
          <w:lang w:val="en-GB" w:bidi="en-US"/>
        </w:rPr>
        <w:t xml:space="preserve">an I be </w:t>
      </w:r>
      <w:r w:rsidR="005D7719">
        <w:rPr>
          <w:i/>
          <w:iCs/>
          <w:lang w:val="en-GB" w:bidi="en-US"/>
        </w:rPr>
        <w:t>t</w:t>
      </w:r>
      <w:r w:rsidRPr="00413FEF">
        <w:rPr>
          <w:i/>
          <w:iCs/>
          <w:lang w:val="en-GB" w:bidi="en-US"/>
        </w:rPr>
        <w:t xml:space="preserve">rusted? A </w:t>
      </w:r>
      <w:r w:rsidR="004E2EF3">
        <w:rPr>
          <w:i/>
          <w:iCs/>
          <w:lang w:val="en-GB" w:bidi="en-US"/>
        </w:rPr>
        <w:t>v</w:t>
      </w:r>
      <w:r w:rsidRPr="00413FEF">
        <w:rPr>
          <w:i/>
          <w:iCs/>
          <w:lang w:val="en-GB" w:bidi="en-US"/>
        </w:rPr>
        <w:t xml:space="preserve">irtue </w:t>
      </w:r>
      <w:r w:rsidR="004E2EF3">
        <w:rPr>
          <w:i/>
          <w:iCs/>
          <w:lang w:val="en-GB" w:bidi="en-US"/>
        </w:rPr>
        <w:t>t</w:t>
      </w:r>
      <w:r w:rsidRPr="00413FEF">
        <w:rPr>
          <w:i/>
          <w:iCs/>
          <w:lang w:val="en-GB" w:bidi="en-US"/>
        </w:rPr>
        <w:t xml:space="preserve">heory of </w:t>
      </w:r>
      <w:r w:rsidR="004E2EF3">
        <w:rPr>
          <w:i/>
          <w:iCs/>
          <w:lang w:val="en-GB" w:bidi="en-US"/>
        </w:rPr>
        <w:t>t</w:t>
      </w:r>
      <w:r w:rsidRPr="00413FEF">
        <w:rPr>
          <w:i/>
          <w:iCs/>
          <w:lang w:val="en-GB" w:bidi="en-US"/>
        </w:rPr>
        <w:t>rustworthiness</w:t>
      </w:r>
      <w:r w:rsidR="004E2EF3">
        <w:rPr>
          <w:lang w:val="en-GB" w:bidi="en-US"/>
        </w:rPr>
        <w:t>.</w:t>
      </w:r>
      <w:r w:rsidRPr="00413FEF">
        <w:rPr>
          <w:lang w:val="en-GB" w:bidi="en-US"/>
        </w:rPr>
        <w:t xml:space="preserve"> Rowman &amp; Littlefield.</w:t>
      </w:r>
    </w:p>
    <w:p w14:paraId="44DC7DEF" w14:textId="06E79467" w:rsidR="00887227" w:rsidRPr="00413FEF" w:rsidRDefault="00887227" w:rsidP="00947ED3">
      <w:pPr>
        <w:spacing w:line="360" w:lineRule="auto"/>
        <w:rPr>
          <w:lang w:val="en-US" w:bidi="en-US"/>
        </w:rPr>
      </w:pPr>
      <w:r w:rsidRPr="00413FEF">
        <w:rPr>
          <w:lang w:val="en-US" w:bidi="en-US"/>
        </w:rPr>
        <w:t>Price, D</w:t>
      </w:r>
      <w:r w:rsidR="00F657F6" w:rsidRPr="00413FEF">
        <w:rPr>
          <w:lang w:val="en-US" w:bidi="en-US"/>
        </w:rPr>
        <w:t xml:space="preserve">. </w:t>
      </w:r>
      <w:r w:rsidRPr="00413FEF">
        <w:rPr>
          <w:lang w:val="en-US" w:bidi="en-US"/>
        </w:rPr>
        <w:t xml:space="preserve">K. </w:t>
      </w:r>
      <w:r w:rsidR="00F657F6" w:rsidRPr="00413FEF">
        <w:rPr>
          <w:lang w:val="en-US" w:bidi="en-US"/>
        </w:rPr>
        <w:t>(</w:t>
      </w:r>
      <w:r w:rsidRPr="00413FEF">
        <w:rPr>
          <w:lang w:val="en-US" w:bidi="en-US"/>
        </w:rPr>
        <w:t>1965</w:t>
      </w:r>
      <w:r w:rsidR="00F657F6" w:rsidRPr="00413FEF">
        <w:rPr>
          <w:lang w:val="en-US" w:bidi="en-US"/>
        </w:rPr>
        <w:t>)</w:t>
      </w:r>
      <w:r w:rsidR="0027446E">
        <w:rPr>
          <w:lang w:val="en-US" w:bidi="en-US"/>
        </w:rPr>
        <w:t>.</w:t>
      </w:r>
      <w:r w:rsidRPr="00413FEF">
        <w:rPr>
          <w:lang w:val="en-US" w:bidi="en-US"/>
        </w:rPr>
        <w:t xml:space="preserve"> </w:t>
      </w:r>
      <w:r w:rsidRPr="00413FEF">
        <w:rPr>
          <w:i/>
          <w:iCs/>
          <w:lang w:val="en-US" w:bidi="en-US"/>
        </w:rPr>
        <w:t xml:space="preserve">The </w:t>
      </w:r>
      <w:r w:rsidR="0027446E">
        <w:rPr>
          <w:i/>
          <w:iCs/>
          <w:lang w:val="en-US" w:bidi="en-US"/>
        </w:rPr>
        <w:t>s</w:t>
      </w:r>
      <w:r w:rsidRPr="00413FEF">
        <w:rPr>
          <w:i/>
          <w:iCs/>
          <w:lang w:val="en-US" w:bidi="en-US"/>
        </w:rPr>
        <w:t xml:space="preserve">cientific </w:t>
      </w:r>
      <w:r w:rsidR="0027446E">
        <w:rPr>
          <w:i/>
          <w:iCs/>
          <w:lang w:val="en-US" w:bidi="en-US"/>
        </w:rPr>
        <w:t>e</w:t>
      </w:r>
      <w:r w:rsidRPr="00413FEF">
        <w:rPr>
          <w:i/>
          <w:iCs/>
          <w:lang w:val="en-US" w:bidi="en-US"/>
        </w:rPr>
        <w:t>state.</w:t>
      </w:r>
      <w:r w:rsidRPr="00413FEF">
        <w:rPr>
          <w:lang w:val="en-US" w:bidi="en-US"/>
        </w:rPr>
        <w:t xml:space="preserve"> Belknap Press of Harvard University Press.</w:t>
      </w:r>
    </w:p>
    <w:p w14:paraId="221B465D" w14:textId="605CDF27" w:rsidR="00887227" w:rsidRPr="00413FEF" w:rsidRDefault="00887227" w:rsidP="00947ED3">
      <w:pPr>
        <w:spacing w:line="360" w:lineRule="auto"/>
        <w:rPr>
          <w:lang w:val="en-US" w:bidi="en-US"/>
        </w:rPr>
      </w:pPr>
      <w:r w:rsidRPr="00413FEF">
        <w:rPr>
          <w:lang w:val="en-US" w:bidi="en-US"/>
        </w:rPr>
        <w:t xml:space="preserve">Quine, W. V. </w:t>
      </w:r>
      <w:r w:rsidR="0079296A" w:rsidRPr="00413FEF">
        <w:rPr>
          <w:lang w:val="en-US" w:bidi="en-US"/>
        </w:rPr>
        <w:t>(</w:t>
      </w:r>
      <w:r w:rsidRPr="00413FEF">
        <w:rPr>
          <w:lang w:val="en-US" w:bidi="en-US"/>
        </w:rPr>
        <w:t>1970</w:t>
      </w:r>
      <w:r w:rsidR="0079296A" w:rsidRPr="00413FEF">
        <w:rPr>
          <w:lang w:val="en-US" w:bidi="en-US"/>
        </w:rPr>
        <w:t>)</w:t>
      </w:r>
      <w:r w:rsidR="0027446E">
        <w:rPr>
          <w:lang w:val="en-US" w:bidi="en-US"/>
        </w:rPr>
        <w:t>.</w:t>
      </w:r>
      <w:r w:rsidRPr="00413FEF">
        <w:rPr>
          <w:lang w:val="en-US" w:bidi="en-US"/>
        </w:rPr>
        <w:t xml:space="preserve"> On the </w:t>
      </w:r>
      <w:r w:rsidR="0027446E">
        <w:rPr>
          <w:lang w:val="en-US" w:bidi="en-US"/>
        </w:rPr>
        <w:t>r</w:t>
      </w:r>
      <w:r w:rsidRPr="00413FEF">
        <w:rPr>
          <w:lang w:val="en-US" w:bidi="en-US"/>
        </w:rPr>
        <w:t xml:space="preserve">easons for </w:t>
      </w:r>
      <w:r w:rsidR="0027446E">
        <w:rPr>
          <w:lang w:val="en-US" w:bidi="en-US"/>
        </w:rPr>
        <w:t>i</w:t>
      </w:r>
      <w:r w:rsidRPr="00413FEF">
        <w:rPr>
          <w:lang w:val="en-US" w:bidi="en-US"/>
        </w:rPr>
        <w:t xml:space="preserve">ndeterminacy of </w:t>
      </w:r>
      <w:r w:rsidR="0027446E">
        <w:rPr>
          <w:lang w:val="en-US" w:bidi="en-US"/>
        </w:rPr>
        <w:t>t</w:t>
      </w:r>
      <w:r w:rsidRPr="00413FEF">
        <w:rPr>
          <w:lang w:val="en-US" w:bidi="en-US"/>
        </w:rPr>
        <w:t xml:space="preserve">ranslation. </w:t>
      </w:r>
      <w:r w:rsidR="00CF57A2" w:rsidRPr="004756F6">
        <w:rPr>
          <w:i/>
          <w:lang w:val="en-US" w:bidi="en-US"/>
        </w:rPr>
        <w:t>The</w:t>
      </w:r>
      <w:r w:rsidR="00CF57A2">
        <w:rPr>
          <w:lang w:val="en-US" w:bidi="en-US"/>
        </w:rPr>
        <w:t xml:space="preserve"> </w:t>
      </w:r>
      <w:r w:rsidRPr="00413FEF">
        <w:rPr>
          <w:i/>
          <w:iCs/>
          <w:lang w:val="en-US" w:bidi="en-US"/>
        </w:rPr>
        <w:t>Journal of Philosophy</w:t>
      </w:r>
      <w:r w:rsidR="0027446E">
        <w:rPr>
          <w:i/>
          <w:iCs/>
          <w:lang w:val="en-US" w:bidi="en-US"/>
        </w:rPr>
        <w:t>,</w:t>
      </w:r>
      <w:r w:rsidRPr="00413FEF">
        <w:rPr>
          <w:lang w:val="en-US" w:bidi="en-US"/>
        </w:rPr>
        <w:t xml:space="preserve"> </w:t>
      </w:r>
      <w:r w:rsidRPr="004756F6">
        <w:rPr>
          <w:i/>
          <w:lang w:val="en-US" w:bidi="en-US"/>
        </w:rPr>
        <w:t>67</w:t>
      </w:r>
      <w:r w:rsidRPr="00413FEF">
        <w:rPr>
          <w:lang w:val="en-US" w:bidi="en-US"/>
        </w:rPr>
        <w:t>(6)</w:t>
      </w:r>
      <w:r w:rsidR="00CF57A2">
        <w:rPr>
          <w:lang w:val="en-US" w:bidi="en-US"/>
        </w:rPr>
        <w:t>,</w:t>
      </w:r>
      <w:r w:rsidRPr="00413FEF">
        <w:rPr>
          <w:lang w:val="en-US" w:bidi="en-US"/>
        </w:rPr>
        <w:t xml:space="preserve"> 178–83. https://doi.org/10.2307/2023887</w:t>
      </w:r>
    </w:p>
    <w:p w14:paraId="0B6725CB" w14:textId="5D96884F" w:rsidR="00887227" w:rsidRPr="00413FEF" w:rsidRDefault="00887227" w:rsidP="00887227">
      <w:pPr>
        <w:spacing w:line="360" w:lineRule="auto"/>
        <w:rPr>
          <w:lang w:val="en-US"/>
        </w:rPr>
      </w:pPr>
      <w:r w:rsidRPr="00413FEF">
        <w:rPr>
          <w:lang w:val="en-US"/>
        </w:rPr>
        <w:t xml:space="preserve">Raz, J. </w:t>
      </w:r>
      <w:r w:rsidR="00D83B4D" w:rsidRPr="00413FEF">
        <w:rPr>
          <w:lang w:val="en-US"/>
        </w:rPr>
        <w:t>(</w:t>
      </w:r>
      <w:r w:rsidRPr="00413FEF">
        <w:rPr>
          <w:lang w:val="en-US"/>
        </w:rPr>
        <w:t>1986</w:t>
      </w:r>
      <w:r w:rsidR="00D83B4D" w:rsidRPr="00413FEF">
        <w:rPr>
          <w:lang w:val="en-US"/>
        </w:rPr>
        <w:t>)</w:t>
      </w:r>
      <w:r w:rsidR="00691C08">
        <w:rPr>
          <w:lang w:val="en-US"/>
        </w:rPr>
        <w:t>.</w:t>
      </w:r>
      <w:r w:rsidRPr="00413FEF">
        <w:rPr>
          <w:lang w:val="en-US"/>
        </w:rPr>
        <w:t xml:space="preserve"> </w:t>
      </w:r>
      <w:r w:rsidRPr="00413FEF">
        <w:rPr>
          <w:i/>
          <w:iCs/>
          <w:lang w:val="en-US"/>
        </w:rPr>
        <w:t xml:space="preserve">The </w:t>
      </w:r>
      <w:r w:rsidR="005A22BC">
        <w:rPr>
          <w:i/>
          <w:iCs/>
          <w:lang w:val="en-US"/>
        </w:rPr>
        <w:t>m</w:t>
      </w:r>
      <w:r w:rsidRPr="00413FEF">
        <w:rPr>
          <w:i/>
          <w:iCs/>
          <w:lang w:val="en-US"/>
        </w:rPr>
        <w:t xml:space="preserve">orality of </w:t>
      </w:r>
      <w:r w:rsidR="005A22BC">
        <w:rPr>
          <w:i/>
          <w:iCs/>
          <w:lang w:val="en-US"/>
        </w:rPr>
        <w:t>f</w:t>
      </w:r>
      <w:r w:rsidRPr="00413FEF">
        <w:rPr>
          <w:i/>
          <w:iCs/>
          <w:lang w:val="en-US"/>
        </w:rPr>
        <w:t>reedom</w:t>
      </w:r>
      <w:r w:rsidRPr="00413FEF">
        <w:rPr>
          <w:lang w:val="en-US"/>
        </w:rPr>
        <w:t>. Oxford University Press.</w:t>
      </w:r>
    </w:p>
    <w:p w14:paraId="0F21A594" w14:textId="108B01B6" w:rsidR="00887227" w:rsidRPr="00413FEF" w:rsidRDefault="00887227" w:rsidP="00947ED3">
      <w:pPr>
        <w:spacing w:line="360" w:lineRule="auto"/>
        <w:rPr>
          <w:lang w:val="en-US" w:bidi="en-US"/>
        </w:rPr>
      </w:pPr>
      <w:r w:rsidRPr="00413FEF">
        <w:rPr>
          <w:lang w:val="en-US" w:bidi="en-US"/>
        </w:rPr>
        <w:t xml:space="preserve">Raz, J. </w:t>
      </w:r>
      <w:r w:rsidR="00D83B4D" w:rsidRPr="00413FEF">
        <w:rPr>
          <w:lang w:val="en-US" w:bidi="en-US"/>
        </w:rPr>
        <w:t>(</w:t>
      </w:r>
      <w:r w:rsidRPr="00413FEF">
        <w:rPr>
          <w:lang w:val="en-US" w:bidi="en-US"/>
        </w:rPr>
        <w:t>1998</w:t>
      </w:r>
      <w:r w:rsidR="00D83B4D" w:rsidRPr="00413FEF">
        <w:rPr>
          <w:lang w:val="en-US" w:bidi="en-US"/>
        </w:rPr>
        <w:t>)</w:t>
      </w:r>
      <w:r w:rsidR="00691C08">
        <w:rPr>
          <w:lang w:val="en-US" w:bidi="en-US"/>
        </w:rPr>
        <w:t>.</w:t>
      </w:r>
      <w:r w:rsidRPr="00413FEF">
        <w:rPr>
          <w:lang w:val="en-US" w:bidi="en-US"/>
        </w:rPr>
        <w:t xml:space="preserve"> Disagreement in </w:t>
      </w:r>
      <w:r w:rsidR="00691C08">
        <w:rPr>
          <w:lang w:val="en-US" w:bidi="en-US"/>
        </w:rPr>
        <w:t>p</w:t>
      </w:r>
      <w:r w:rsidRPr="00413FEF">
        <w:rPr>
          <w:lang w:val="en-US" w:bidi="en-US"/>
        </w:rPr>
        <w:t xml:space="preserve">olitics. </w:t>
      </w:r>
      <w:r w:rsidRPr="00413FEF">
        <w:rPr>
          <w:i/>
          <w:iCs/>
          <w:lang w:val="en-US" w:bidi="en-US"/>
        </w:rPr>
        <w:t>American Journal of Jurisprudence</w:t>
      </w:r>
      <w:r w:rsidR="00691C08">
        <w:rPr>
          <w:i/>
          <w:iCs/>
          <w:lang w:val="en-US" w:bidi="en-US"/>
        </w:rPr>
        <w:t>,</w:t>
      </w:r>
      <w:r w:rsidRPr="00413FEF">
        <w:rPr>
          <w:lang w:val="en-US" w:bidi="en-US"/>
        </w:rPr>
        <w:t xml:space="preserve"> </w:t>
      </w:r>
      <w:r w:rsidRPr="004756F6">
        <w:rPr>
          <w:i/>
          <w:lang w:val="en-US" w:bidi="en-US"/>
        </w:rPr>
        <w:t>43</w:t>
      </w:r>
      <w:r w:rsidRPr="00413FEF">
        <w:rPr>
          <w:lang w:val="en-US" w:bidi="en-US"/>
        </w:rPr>
        <w:t>(1)</w:t>
      </w:r>
      <w:r w:rsidR="00691C08">
        <w:rPr>
          <w:lang w:val="en-US" w:bidi="en-US"/>
        </w:rPr>
        <w:t>,</w:t>
      </w:r>
      <w:r w:rsidRPr="00413FEF">
        <w:rPr>
          <w:lang w:val="en-US" w:bidi="en-US"/>
        </w:rPr>
        <w:t xml:space="preserve"> 25–52. https://doi.org/10.1093/ajj/43.1.25</w:t>
      </w:r>
    </w:p>
    <w:p w14:paraId="1EF1B1FC" w14:textId="1064D979" w:rsidR="00887227" w:rsidRPr="00413FEF" w:rsidRDefault="00887227" w:rsidP="00947ED3">
      <w:pPr>
        <w:spacing w:line="360" w:lineRule="auto"/>
        <w:rPr>
          <w:lang w:val="en-US" w:bidi="en-US"/>
        </w:rPr>
      </w:pPr>
      <w:r w:rsidRPr="00413FEF">
        <w:rPr>
          <w:lang w:val="en-US" w:bidi="en-US"/>
        </w:rPr>
        <w:t xml:space="preserve">Saunders, M. </w:t>
      </w:r>
      <w:r w:rsidR="00105263" w:rsidRPr="00413FEF">
        <w:rPr>
          <w:lang w:val="en-US" w:bidi="en-US"/>
        </w:rPr>
        <w:t>(</w:t>
      </w:r>
      <w:r w:rsidRPr="00413FEF">
        <w:rPr>
          <w:lang w:val="en-US" w:bidi="en-US"/>
        </w:rPr>
        <w:t>2010</w:t>
      </w:r>
      <w:r w:rsidR="00105263" w:rsidRPr="00413FEF">
        <w:rPr>
          <w:lang w:val="en-US" w:bidi="en-US"/>
        </w:rPr>
        <w:t>)</w:t>
      </w:r>
      <w:r w:rsidR="00691C08">
        <w:rPr>
          <w:lang w:val="en-US" w:bidi="en-US"/>
        </w:rPr>
        <w:t>.</w:t>
      </w:r>
      <w:r w:rsidRPr="00413FEF">
        <w:rPr>
          <w:lang w:val="en-US" w:bidi="en-US"/>
        </w:rPr>
        <w:t xml:space="preserve"> </w:t>
      </w:r>
      <w:r w:rsidRPr="00413FEF">
        <w:rPr>
          <w:i/>
          <w:iCs/>
          <w:lang w:val="en-US" w:bidi="en-US"/>
        </w:rPr>
        <w:t xml:space="preserve">Organizational </w:t>
      </w:r>
      <w:r w:rsidR="00691C08">
        <w:rPr>
          <w:i/>
          <w:iCs/>
          <w:lang w:val="en-US" w:bidi="en-US"/>
        </w:rPr>
        <w:t>t</w:t>
      </w:r>
      <w:r w:rsidRPr="00413FEF">
        <w:rPr>
          <w:i/>
          <w:iCs/>
          <w:lang w:val="en-US" w:bidi="en-US"/>
        </w:rPr>
        <w:t xml:space="preserve">rust: A </w:t>
      </w:r>
      <w:r w:rsidR="00691C08">
        <w:rPr>
          <w:i/>
          <w:iCs/>
          <w:lang w:val="en-US" w:bidi="en-US"/>
        </w:rPr>
        <w:t>c</w:t>
      </w:r>
      <w:r w:rsidRPr="00413FEF">
        <w:rPr>
          <w:i/>
          <w:iCs/>
          <w:lang w:val="en-US" w:bidi="en-US"/>
        </w:rPr>
        <w:t xml:space="preserve">ultural </w:t>
      </w:r>
      <w:r w:rsidR="00691C08">
        <w:rPr>
          <w:i/>
          <w:iCs/>
          <w:lang w:val="en-US" w:bidi="en-US"/>
        </w:rPr>
        <w:t>p</w:t>
      </w:r>
      <w:r w:rsidRPr="00413FEF">
        <w:rPr>
          <w:i/>
          <w:iCs/>
          <w:lang w:val="en-US" w:bidi="en-US"/>
        </w:rPr>
        <w:t>erspective</w:t>
      </w:r>
      <w:r w:rsidRPr="00413FEF">
        <w:rPr>
          <w:lang w:val="en-US" w:bidi="en-US"/>
        </w:rPr>
        <w:t>. Cambridge University Press.</w:t>
      </w:r>
    </w:p>
    <w:p w14:paraId="3945C3B9" w14:textId="0C6739BA" w:rsidR="00887227" w:rsidRPr="00413FEF" w:rsidRDefault="00887227" w:rsidP="00947ED3">
      <w:pPr>
        <w:spacing w:line="360" w:lineRule="auto"/>
        <w:rPr>
          <w:lang w:val="en-US" w:bidi="en-US"/>
        </w:rPr>
      </w:pPr>
      <w:r w:rsidRPr="00413FEF">
        <w:rPr>
          <w:lang w:val="en-US" w:bidi="en-US"/>
        </w:rPr>
        <w:t>Scheman, N. (2011)</w:t>
      </w:r>
      <w:r w:rsidR="00691C08">
        <w:rPr>
          <w:lang w:val="en-US" w:bidi="en-US"/>
        </w:rPr>
        <w:t>.</w:t>
      </w:r>
      <w:r w:rsidRPr="00413FEF">
        <w:rPr>
          <w:lang w:val="en-US" w:bidi="en-US"/>
        </w:rPr>
        <w:t xml:space="preserve"> </w:t>
      </w:r>
      <w:r w:rsidRPr="00413FEF">
        <w:rPr>
          <w:i/>
          <w:iCs/>
          <w:lang w:val="en-US" w:bidi="en-US"/>
        </w:rPr>
        <w:t xml:space="preserve">Shifting </w:t>
      </w:r>
      <w:r w:rsidR="00691C08">
        <w:rPr>
          <w:i/>
          <w:iCs/>
          <w:lang w:val="en-US" w:bidi="en-US"/>
        </w:rPr>
        <w:t>g</w:t>
      </w:r>
      <w:r w:rsidRPr="00413FEF">
        <w:rPr>
          <w:i/>
          <w:iCs/>
          <w:lang w:val="en-US" w:bidi="en-US"/>
        </w:rPr>
        <w:t xml:space="preserve">round: Knowledge and </w:t>
      </w:r>
      <w:r w:rsidR="00691C08">
        <w:rPr>
          <w:i/>
          <w:iCs/>
          <w:lang w:val="en-US" w:bidi="en-US"/>
        </w:rPr>
        <w:t>r</w:t>
      </w:r>
      <w:r w:rsidRPr="00413FEF">
        <w:rPr>
          <w:i/>
          <w:iCs/>
          <w:lang w:val="en-US" w:bidi="en-US"/>
        </w:rPr>
        <w:t xml:space="preserve">eality, </w:t>
      </w:r>
      <w:r w:rsidR="00691C08">
        <w:rPr>
          <w:i/>
          <w:iCs/>
          <w:lang w:val="en-US" w:bidi="en-US"/>
        </w:rPr>
        <w:t>t</w:t>
      </w:r>
      <w:r w:rsidRPr="00413FEF">
        <w:rPr>
          <w:i/>
          <w:iCs/>
          <w:lang w:val="en-US" w:bidi="en-US"/>
        </w:rPr>
        <w:t xml:space="preserve">ransgression and </w:t>
      </w:r>
      <w:r w:rsidR="00691C08">
        <w:rPr>
          <w:i/>
          <w:iCs/>
          <w:lang w:val="en-US" w:bidi="en-US"/>
        </w:rPr>
        <w:t>t</w:t>
      </w:r>
      <w:r w:rsidRPr="00413FEF">
        <w:rPr>
          <w:i/>
          <w:iCs/>
          <w:lang w:val="en-US" w:bidi="en-US"/>
        </w:rPr>
        <w:t>rustworthiness.</w:t>
      </w:r>
      <w:r w:rsidRPr="00413FEF">
        <w:rPr>
          <w:lang w:val="en-US" w:bidi="en-US"/>
        </w:rPr>
        <w:t xml:space="preserve"> Oxford University Press.</w:t>
      </w:r>
    </w:p>
    <w:p w14:paraId="6D64641E" w14:textId="391393CF" w:rsidR="00887227" w:rsidRPr="00413FEF" w:rsidRDefault="00887227" w:rsidP="00D260CE">
      <w:pPr>
        <w:spacing w:line="360" w:lineRule="auto"/>
        <w:rPr>
          <w:lang w:val="en-GB" w:bidi="en-US"/>
        </w:rPr>
      </w:pPr>
      <w:r w:rsidRPr="00413FEF">
        <w:rPr>
          <w:lang w:val="en-GB" w:bidi="en-US"/>
        </w:rPr>
        <w:t xml:space="preserve">Simion, M. </w:t>
      </w:r>
      <w:r w:rsidR="00105263" w:rsidRPr="00413FEF">
        <w:rPr>
          <w:lang w:val="en-GB" w:bidi="en-US"/>
        </w:rPr>
        <w:t>(</w:t>
      </w:r>
      <w:r w:rsidRPr="00413FEF">
        <w:rPr>
          <w:lang w:val="en-GB" w:bidi="en-US"/>
        </w:rPr>
        <w:t>2020</w:t>
      </w:r>
      <w:r w:rsidR="00105263" w:rsidRPr="00413FEF">
        <w:rPr>
          <w:lang w:val="en-GB" w:bidi="en-US"/>
        </w:rPr>
        <w:t>)</w:t>
      </w:r>
      <w:r w:rsidR="00AB12C4">
        <w:rPr>
          <w:lang w:val="en-GB" w:bidi="en-US"/>
        </w:rPr>
        <w:t>.</w:t>
      </w:r>
      <w:r w:rsidRPr="00413FEF">
        <w:rPr>
          <w:lang w:val="en-GB" w:bidi="en-US"/>
        </w:rPr>
        <w:t xml:space="preserve"> Testimonial </w:t>
      </w:r>
      <w:r w:rsidR="00AB12C4">
        <w:rPr>
          <w:lang w:val="en-GB" w:bidi="en-US"/>
        </w:rPr>
        <w:t>c</w:t>
      </w:r>
      <w:r w:rsidRPr="00413FEF">
        <w:rPr>
          <w:lang w:val="en-GB" w:bidi="en-US"/>
        </w:rPr>
        <w:t xml:space="preserve">ontractarianism: A </w:t>
      </w:r>
      <w:r w:rsidR="00AB12C4">
        <w:rPr>
          <w:lang w:val="en-GB" w:bidi="en-US"/>
        </w:rPr>
        <w:t>k</w:t>
      </w:r>
      <w:r w:rsidRPr="00413FEF">
        <w:rPr>
          <w:lang w:val="en-GB" w:bidi="en-US"/>
        </w:rPr>
        <w:t>nowledge-</w:t>
      </w:r>
      <w:r w:rsidR="00AB12C4">
        <w:rPr>
          <w:lang w:val="en-GB" w:bidi="en-US"/>
        </w:rPr>
        <w:t>f</w:t>
      </w:r>
      <w:r w:rsidRPr="00413FEF">
        <w:rPr>
          <w:lang w:val="en-GB" w:bidi="en-US"/>
        </w:rPr>
        <w:t xml:space="preserve">irst </w:t>
      </w:r>
      <w:r w:rsidR="00AB12C4">
        <w:rPr>
          <w:lang w:val="en-GB" w:bidi="en-US"/>
        </w:rPr>
        <w:t>s</w:t>
      </w:r>
      <w:r w:rsidRPr="00413FEF">
        <w:rPr>
          <w:lang w:val="en-GB" w:bidi="en-US"/>
        </w:rPr>
        <w:t xml:space="preserve">ocial </w:t>
      </w:r>
      <w:r w:rsidR="00AB12C4">
        <w:rPr>
          <w:lang w:val="en-GB" w:bidi="en-US"/>
        </w:rPr>
        <w:t>e</w:t>
      </w:r>
      <w:r w:rsidRPr="00413FEF">
        <w:rPr>
          <w:lang w:val="en-GB" w:bidi="en-US"/>
        </w:rPr>
        <w:t xml:space="preserve">pistemology. </w:t>
      </w:r>
      <w:proofErr w:type="spellStart"/>
      <w:r w:rsidRPr="00413FEF">
        <w:rPr>
          <w:i/>
          <w:iCs/>
          <w:lang w:val="en-GB" w:bidi="en-US"/>
        </w:rPr>
        <w:t>Noûs</w:t>
      </w:r>
      <w:proofErr w:type="spellEnd"/>
      <w:r w:rsidRPr="00413FEF">
        <w:rPr>
          <w:lang w:val="en-GB" w:bidi="en-US"/>
        </w:rPr>
        <w:t>. https://doi.org/10.1111/nous.12337</w:t>
      </w:r>
    </w:p>
    <w:p w14:paraId="3F61CAEF" w14:textId="5511DFA0" w:rsidR="00887227" w:rsidRPr="00413FEF" w:rsidRDefault="00887227" w:rsidP="00D260CE">
      <w:pPr>
        <w:spacing w:line="360" w:lineRule="auto"/>
        <w:rPr>
          <w:lang w:val="en-GB" w:bidi="en-US"/>
        </w:rPr>
      </w:pPr>
      <w:r w:rsidRPr="00413FEF">
        <w:rPr>
          <w:lang w:val="en-GB" w:bidi="en-US"/>
        </w:rPr>
        <w:t>Simpson, T. W. (2012)</w:t>
      </w:r>
      <w:r w:rsidR="00AB12C4">
        <w:rPr>
          <w:lang w:val="en-GB" w:bidi="en-US"/>
        </w:rPr>
        <w:t>.</w:t>
      </w:r>
      <w:r w:rsidRPr="00413FEF">
        <w:rPr>
          <w:lang w:val="en-GB" w:bidi="en-US"/>
        </w:rPr>
        <w:t xml:space="preserve"> What </w:t>
      </w:r>
      <w:r w:rsidR="00AB12C4">
        <w:rPr>
          <w:lang w:val="en-GB" w:bidi="en-US"/>
        </w:rPr>
        <w:t>i</w:t>
      </w:r>
      <w:r w:rsidRPr="00413FEF">
        <w:rPr>
          <w:lang w:val="en-GB" w:bidi="en-US"/>
        </w:rPr>
        <w:t xml:space="preserve">s </w:t>
      </w:r>
      <w:r w:rsidR="00AB12C4">
        <w:rPr>
          <w:lang w:val="en-GB" w:bidi="en-US"/>
        </w:rPr>
        <w:t>t</w:t>
      </w:r>
      <w:r w:rsidRPr="00413FEF">
        <w:rPr>
          <w:lang w:val="en-GB" w:bidi="en-US"/>
        </w:rPr>
        <w:t>rust? </w:t>
      </w:r>
      <w:r w:rsidRPr="00413FEF">
        <w:rPr>
          <w:i/>
          <w:iCs/>
          <w:lang w:val="en-GB" w:bidi="en-US"/>
        </w:rPr>
        <w:t>Pacific Philosophical Quarterly</w:t>
      </w:r>
      <w:r w:rsidRPr="00413FEF">
        <w:rPr>
          <w:lang w:val="en-GB" w:bidi="en-US"/>
        </w:rPr>
        <w:t xml:space="preserve">, </w:t>
      </w:r>
      <w:r w:rsidRPr="004756F6">
        <w:rPr>
          <w:i/>
          <w:lang w:val="en-GB" w:bidi="en-US"/>
        </w:rPr>
        <w:t>93</w:t>
      </w:r>
      <w:r w:rsidRPr="00413FEF">
        <w:rPr>
          <w:lang w:val="en-GB" w:bidi="en-US"/>
        </w:rPr>
        <w:t>(4)</w:t>
      </w:r>
      <w:r w:rsidR="00AB12C4">
        <w:rPr>
          <w:lang w:val="en-GB" w:bidi="en-US"/>
        </w:rPr>
        <w:t>,</w:t>
      </w:r>
      <w:r w:rsidRPr="00413FEF">
        <w:rPr>
          <w:lang w:val="en-GB" w:bidi="en-US"/>
        </w:rPr>
        <w:t xml:space="preserve"> 550–569. doi:10.1111/j.1468-0114.</w:t>
      </w:r>
      <w:proofErr w:type="gramStart"/>
      <w:r w:rsidRPr="00413FEF">
        <w:rPr>
          <w:lang w:val="en-GB" w:bidi="en-US"/>
        </w:rPr>
        <w:t>2012.01438.x</w:t>
      </w:r>
      <w:proofErr w:type="gramEnd"/>
    </w:p>
    <w:p w14:paraId="25B30C5E" w14:textId="24CDE14B" w:rsidR="00887227" w:rsidRPr="00413FEF" w:rsidRDefault="00887227" w:rsidP="00947ED3">
      <w:pPr>
        <w:spacing w:line="360" w:lineRule="auto"/>
        <w:rPr>
          <w:lang w:val="en-US" w:bidi="en-US"/>
        </w:rPr>
      </w:pPr>
      <w:r w:rsidRPr="00413FEF">
        <w:rPr>
          <w:lang w:val="en-US" w:bidi="en-US"/>
        </w:rPr>
        <w:t xml:space="preserve">Stanford, P. K. </w:t>
      </w:r>
      <w:r w:rsidR="00105263" w:rsidRPr="00413FEF">
        <w:rPr>
          <w:lang w:val="en-US" w:bidi="en-US"/>
        </w:rPr>
        <w:t>(</w:t>
      </w:r>
      <w:r w:rsidRPr="00413FEF">
        <w:rPr>
          <w:lang w:val="en-US" w:bidi="en-US"/>
        </w:rPr>
        <w:t>2001</w:t>
      </w:r>
      <w:r w:rsidR="00105263" w:rsidRPr="00413FEF">
        <w:rPr>
          <w:lang w:val="en-US" w:bidi="en-US"/>
        </w:rPr>
        <w:t>)</w:t>
      </w:r>
      <w:r w:rsidR="00AB12C4">
        <w:rPr>
          <w:lang w:val="en-US" w:bidi="en-US"/>
        </w:rPr>
        <w:t>.</w:t>
      </w:r>
      <w:r w:rsidRPr="00413FEF">
        <w:rPr>
          <w:lang w:val="en-US" w:bidi="en-US"/>
        </w:rPr>
        <w:t xml:space="preserve"> Refusing the </w:t>
      </w:r>
      <w:r w:rsidR="00AB12C4">
        <w:rPr>
          <w:lang w:val="en-US" w:bidi="en-US"/>
        </w:rPr>
        <w:t>d</w:t>
      </w:r>
      <w:r w:rsidRPr="00413FEF">
        <w:rPr>
          <w:lang w:val="en-US" w:bidi="en-US"/>
        </w:rPr>
        <w:t xml:space="preserve">evil’s </w:t>
      </w:r>
      <w:r w:rsidR="00AB12C4">
        <w:rPr>
          <w:lang w:val="en-US" w:bidi="en-US"/>
        </w:rPr>
        <w:t>b</w:t>
      </w:r>
      <w:r w:rsidRPr="00413FEF">
        <w:rPr>
          <w:lang w:val="en-US" w:bidi="en-US"/>
        </w:rPr>
        <w:t xml:space="preserve">argain: What </w:t>
      </w:r>
      <w:r w:rsidR="00AB12C4">
        <w:rPr>
          <w:lang w:val="en-US" w:bidi="en-US"/>
        </w:rPr>
        <w:t>k</w:t>
      </w:r>
      <w:r w:rsidRPr="00413FEF">
        <w:rPr>
          <w:lang w:val="en-US" w:bidi="en-US"/>
        </w:rPr>
        <w:t xml:space="preserve">ind of </w:t>
      </w:r>
      <w:r w:rsidR="00AB12C4">
        <w:rPr>
          <w:lang w:val="en-US" w:bidi="en-US"/>
        </w:rPr>
        <w:t>u</w:t>
      </w:r>
      <w:r w:rsidRPr="00413FEF">
        <w:rPr>
          <w:lang w:val="en-US" w:bidi="en-US"/>
        </w:rPr>
        <w:t xml:space="preserve">nderdetermination </w:t>
      </w:r>
      <w:r w:rsidR="00AB12C4">
        <w:rPr>
          <w:lang w:val="en-US" w:bidi="en-US"/>
        </w:rPr>
        <w:t>s</w:t>
      </w:r>
      <w:r w:rsidRPr="00413FEF">
        <w:rPr>
          <w:lang w:val="en-US" w:bidi="en-US"/>
        </w:rPr>
        <w:t xml:space="preserve">hould </w:t>
      </w:r>
      <w:r w:rsidR="00AB12C4">
        <w:rPr>
          <w:lang w:val="en-US" w:bidi="en-US"/>
        </w:rPr>
        <w:t>w</w:t>
      </w:r>
      <w:r w:rsidRPr="00413FEF">
        <w:rPr>
          <w:lang w:val="en-US" w:bidi="en-US"/>
        </w:rPr>
        <w:t xml:space="preserve">e </w:t>
      </w:r>
      <w:r w:rsidR="00AB12C4">
        <w:rPr>
          <w:lang w:val="en-US" w:bidi="en-US"/>
        </w:rPr>
        <w:t>t</w:t>
      </w:r>
      <w:r w:rsidRPr="00413FEF">
        <w:rPr>
          <w:lang w:val="en-US" w:bidi="en-US"/>
        </w:rPr>
        <w:t xml:space="preserve">ake </w:t>
      </w:r>
      <w:r w:rsidR="00AB12C4">
        <w:rPr>
          <w:lang w:val="en-US" w:bidi="en-US"/>
        </w:rPr>
        <w:t>s</w:t>
      </w:r>
      <w:r w:rsidRPr="00413FEF">
        <w:rPr>
          <w:lang w:val="en-US" w:bidi="en-US"/>
        </w:rPr>
        <w:t xml:space="preserve">eriously? </w:t>
      </w:r>
      <w:r w:rsidRPr="00413FEF">
        <w:rPr>
          <w:i/>
          <w:iCs/>
          <w:lang w:val="en-US" w:bidi="en-US"/>
        </w:rPr>
        <w:t>Philosophy of Science</w:t>
      </w:r>
      <w:r w:rsidR="00AB12C4">
        <w:rPr>
          <w:i/>
          <w:iCs/>
          <w:lang w:val="en-US" w:bidi="en-US"/>
        </w:rPr>
        <w:t>,</w:t>
      </w:r>
      <w:r w:rsidRPr="00413FEF">
        <w:rPr>
          <w:lang w:val="en-US" w:bidi="en-US"/>
        </w:rPr>
        <w:t xml:space="preserve"> </w:t>
      </w:r>
      <w:r w:rsidRPr="004756F6">
        <w:rPr>
          <w:i/>
          <w:lang w:val="en-US" w:bidi="en-US"/>
        </w:rPr>
        <w:t>68</w:t>
      </w:r>
      <w:r w:rsidRPr="00413FEF">
        <w:rPr>
          <w:lang w:val="en-US" w:bidi="en-US"/>
        </w:rPr>
        <w:t xml:space="preserve"> (S3)</w:t>
      </w:r>
      <w:r w:rsidR="00AB12C4">
        <w:rPr>
          <w:lang w:val="en-US" w:bidi="en-US"/>
        </w:rPr>
        <w:t>,</w:t>
      </w:r>
      <w:r w:rsidRPr="00413FEF">
        <w:rPr>
          <w:lang w:val="en-US" w:bidi="en-US"/>
        </w:rPr>
        <w:t xml:space="preserve"> 1–12. https://doi.org/10.1086/392893</w:t>
      </w:r>
    </w:p>
    <w:p w14:paraId="2B7F58CA" w14:textId="0B3EF24B" w:rsidR="00887227" w:rsidRPr="00413FEF" w:rsidRDefault="00887227" w:rsidP="00887227">
      <w:pPr>
        <w:spacing w:line="360" w:lineRule="auto"/>
        <w:rPr>
          <w:lang w:val="en-US" w:bidi="en-US"/>
        </w:rPr>
      </w:pPr>
      <w:r w:rsidRPr="00413FEF">
        <w:rPr>
          <w:lang w:val="en-US" w:bidi="en-US"/>
        </w:rPr>
        <w:t xml:space="preserve">Steinberg, J. </w:t>
      </w:r>
      <w:r w:rsidR="006F7251" w:rsidRPr="00413FEF">
        <w:rPr>
          <w:lang w:val="en-US" w:bidi="en-US"/>
        </w:rPr>
        <w:t>(</w:t>
      </w:r>
      <w:r w:rsidRPr="00413FEF">
        <w:rPr>
          <w:lang w:val="en-US" w:bidi="en-US"/>
        </w:rPr>
        <w:t>2017</w:t>
      </w:r>
      <w:r w:rsidR="006F7251" w:rsidRPr="00413FEF">
        <w:rPr>
          <w:lang w:val="en-US" w:bidi="en-US"/>
        </w:rPr>
        <w:t>)</w:t>
      </w:r>
      <w:r w:rsidR="00544622">
        <w:rPr>
          <w:lang w:val="en-US" w:bidi="en-US"/>
        </w:rPr>
        <w:t>.</w:t>
      </w:r>
      <w:r w:rsidRPr="00413FEF">
        <w:rPr>
          <w:lang w:val="en-US" w:bidi="en-US"/>
        </w:rPr>
        <w:t xml:space="preserve"> Re-</w:t>
      </w:r>
      <w:r w:rsidR="00544622">
        <w:rPr>
          <w:lang w:val="en-US" w:bidi="en-US"/>
        </w:rPr>
        <w:t>e</w:t>
      </w:r>
      <w:r w:rsidRPr="00413FEF">
        <w:rPr>
          <w:lang w:val="en-US" w:bidi="en-US"/>
        </w:rPr>
        <w:t xml:space="preserve">xamining the </w:t>
      </w:r>
      <w:r w:rsidR="00544622">
        <w:rPr>
          <w:lang w:val="en-US" w:bidi="en-US"/>
        </w:rPr>
        <w:t>e</w:t>
      </w:r>
      <w:r w:rsidRPr="00413FEF">
        <w:rPr>
          <w:lang w:val="en-US" w:bidi="en-US"/>
        </w:rPr>
        <w:t xml:space="preserve">arly </w:t>
      </w:r>
      <w:r w:rsidR="00544622">
        <w:rPr>
          <w:lang w:val="en-US" w:bidi="en-US"/>
        </w:rPr>
        <w:t>y</w:t>
      </w:r>
      <w:r w:rsidRPr="00413FEF">
        <w:rPr>
          <w:lang w:val="en-US" w:bidi="en-US"/>
        </w:rPr>
        <w:t xml:space="preserve">ears of </w:t>
      </w:r>
      <w:r w:rsidR="00544622">
        <w:rPr>
          <w:lang w:val="en-US" w:bidi="en-US"/>
        </w:rPr>
        <w:t>a</w:t>
      </w:r>
      <w:r w:rsidRPr="00413FEF">
        <w:rPr>
          <w:lang w:val="en-US" w:bidi="en-US"/>
        </w:rPr>
        <w:t>nti-</w:t>
      </w:r>
      <w:r w:rsidR="00544622">
        <w:rPr>
          <w:lang w:val="en-US" w:bidi="en-US"/>
        </w:rPr>
        <w:t>r</w:t>
      </w:r>
      <w:r w:rsidRPr="00413FEF">
        <w:rPr>
          <w:lang w:val="en-US" w:bidi="en-US"/>
        </w:rPr>
        <w:t xml:space="preserve">etroviral </w:t>
      </w:r>
      <w:r w:rsidR="00544622">
        <w:rPr>
          <w:lang w:val="en-US" w:bidi="en-US"/>
        </w:rPr>
        <w:t>t</w:t>
      </w:r>
      <w:r w:rsidRPr="00413FEF">
        <w:rPr>
          <w:lang w:val="en-US" w:bidi="en-US"/>
        </w:rPr>
        <w:t xml:space="preserve">reatment in South Africa: A </w:t>
      </w:r>
      <w:r w:rsidR="00544622">
        <w:rPr>
          <w:lang w:val="en-US" w:bidi="en-US"/>
        </w:rPr>
        <w:t>t</w:t>
      </w:r>
      <w:r w:rsidRPr="00413FEF">
        <w:rPr>
          <w:lang w:val="en-US" w:bidi="en-US"/>
        </w:rPr>
        <w:t xml:space="preserve">aste for </w:t>
      </w:r>
      <w:r w:rsidR="00544622">
        <w:rPr>
          <w:lang w:val="en-US" w:bidi="en-US"/>
        </w:rPr>
        <w:t>m</w:t>
      </w:r>
      <w:r w:rsidRPr="00413FEF">
        <w:rPr>
          <w:lang w:val="en-US" w:bidi="en-US"/>
        </w:rPr>
        <w:t xml:space="preserve">edicine. </w:t>
      </w:r>
      <w:r w:rsidRPr="00413FEF">
        <w:rPr>
          <w:i/>
          <w:iCs/>
          <w:lang w:val="en-US" w:bidi="en-US"/>
        </w:rPr>
        <w:t>African Affairs</w:t>
      </w:r>
      <w:r w:rsidR="00544622">
        <w:rPr>
          <w:i/>
          <w:iCs/>
          <w:lang w:val="en-US" w:bidi="en-US"/>
        </w:rPr>
        <w:t>,</w:t>
      </w:r>
      <w:r w:rsidRPr="00413FEF">
        <w:rPr>
          <w:lang w:val="en-US" w:bidi="en-US"/>
        </w:rPr>
        <w:t xml:space="preserve"> </w:t>
      </w:r>
      <w:r w:rsidRPr="004756F6">
        <w:rPr>
          <w:i/>
          <w:lang w:val="en-US" w:bidi="en-US"/>
        </w:rPr>
        <w:t>116</w:t>
      </w:r>
      <w:r w:rsidRPr="00413FEF">
        <w:rPr>
          <w:lang w:val="en-US" w:bidi="en-US"/>
        </w:rPr>
        <w:t>(462)</w:t>
      </w:r>
      <w:r w:rsidR="00544622">
        <w:rPr>
          <w:lang w:val="en-US" w:bidi="en-US"/>
        </w:rPr>
        <w:t>,</w:t>
      </w:r>
      <w:r w:rsidRPr="00413FEF">
        <w:rPr>
          <w:lang w:val="en-US" w:bidi="en-US"/>
        </w:rPr>
        <w:t xml:space="preserve"> 60–79. </w:t>
      </w:r>
    </w:p>
    <w:p w14:paraId="4F7E0A1C" w14:textId="7D0D555D" w:rsidR="00887227" w:rsidRPr="00413FEF" w:rsidRDefault="00887227" w:rsidP="00947ED3">
      <w:pPr>
        <w:spacing w:line="360" w:lineRule="auto"/>
        <w:rPr>
          <w:lang w:val="en-US" w:bidi="en-US"/>
        </w:rPr>
      </w:pPr>
      <w:r w:rsidRPr="00413FEF">
        <w:rPr>
          <w:lang w:val="en-US" w:bidi="en-US"/>
        </w:rPr>
        <w:t>Sunstein, C. (2017)</w:t>
      </w:r>
      <w:r w:rsidR="00544622">
        <w:rPr>
          <w:lang w:val="en-US" w:bidi="en-US"/>
        </w:rPr>
        <w:t>.</w:t>
      </w:r>
      <w:r w:rsidRPr="00413FEF">
        <w:rPr>
          <w:lang w:val="en-US" w:bidi="en-US"/>
        </w:rPr>
        <w:t xml:space="preserve"> </w:t>
      </w:r>
      <w:r w:rsidRPr="00413FEF">
        <w:rPr>
          <w:i/>
          <w:iCs/>
          <w:lang w:val="en-US" w:bidi="en-US"/>
        </w:rPr>
        <w:t xml:space="preserve">#Republic: Divided </w:t>
      </w:r>
      <w:r w:rsidR="00544622">
        <w:rPr>
          <w:i/>
          <w:iCs/>
          <w:lang w:val="en-US" w:bidi="en-US"/>
        </w:rPr>
        <w:t>d</w:t>
      </w:r>
      <w:r w:rsidRPr="00413FEF">
        <w:rPr>
          <w:i/>
          <w:iCs/>
          <w:lang w:val="en-US" w:bidi="en-US"/>
        </w:rPr>
        <w:t xml:space="preserve">emocracy in the </w:t>
      </w:r>
      <w:r w:rsidR="00544622">
        <w:rPr>
          <w:i/>
          <w:iCs/>
          <w:lang w:val="en-US" w:bidi="en-US"/>
        </w:rPr>
        <w:t>a</w:t>
      </w:r>
      <w:r w:rsidRPr="00413FEF">
        <w:rPr>
          <w:i/>
          <w:iCs/>
          <w:lang w:val="en-US" w:bidi="en-US"/>
        </w:rPr>
        <w:t xml:space="preserve">ge of </w:t>
      </w:r>
      <w:r w:rsidR="00544622">
        <w:rPr>
          <w:i/>
          <w:iCs/>
          <w:lang w:val="en-US" w:bidi="en-US"/>
        </w:rPr>
        <w:t>s</w:t>
      </w:r>
      <w:r w:rsidRPr="00413FEF">
        <w:rPr>
          <w:i/>
          <w:iCs/>
          <w:lang w:val="en-US" w:bidi="en-US"/>
        </w:rPr>
        <w:t xml:space="preserve">ocial </w:t>
      </w:r>
      <w:r w:rsidR="00544622">
        <w:rPr>
          <w:i/>
          <w:iCs/>
          <w:lang w:val="en-US" w:bidi="en-US"/>
        </w:rPr>
        <w:t>m</w:t>
      </w:r>
      <w:r w:rsidRPr="00413FEF">
        <w:rPr>
          <w:i/>
          <w:iCs/>
          <w:lang w:val="en-US" w:bidi="en-US"/>
        </w:rPr>
        <w:t xml:space="preserve">edia. </w:t>
      </w:r>
      <w:r w:rsidRPr="00413FEF">
        <w:rPr>
          <w:lang w:val="en-US" w:bidi="en-US"/>
        </w:rPr>
        <w:t>Princeton University Press.</w:t>
      </w:r>
    </w:p>
    <w:p w14:paraId="3156AE03" w14:textId="2F6E7E4D" w:rsidR="00887227" w:rsidRPr="00413FEF" w:rsidRDefault="00887227" w:rsidP="00947ED3">
      <w:pPr>
        <w:spacing w:line="360" w:lineRule="auto"/>
        <w:rPr>
          <w:lang w:val="en-US" w:bidi="en-US"/>
        </w:rPr>
      </w:pPr>
      <w:r w:rsidRPr="00413FEF">
        <w:rPr>
          <w:lang w:val="en-US" w:bidi="en-US"/>
        </w:rPr>
        <w:t>Thomas, S. B., &amp; Quinn, S. C. (1991)</w:t>
      </w:r>
      <w:r w:rsidR="00C81726">
        <w:rPr>
          <w:lang w:val="en-US" w:bidi="en-US"/>
        </w:rPr>
        <w:t>.</w:t>
      </w:r>
      <w:r w:rsidRPr="00413FEF">
        <w:rPr>
          <w:lang w:val="en-US" w:bidi="en-US"/>
        </w:rPr>
        <w:t xml:space="preserve"> The Tuskegee Syphilis Study, 1932 to 1972: Implications for HIV education and AIDS risk education programs in the Black community. </w:t>
      </w:r>
      <w:r w:rsidRPr="00413FEF">
        <w:rPr>
          <w:i/>
          <w:iCs/>
          <w:lang w:val="en-US" w:bidi="en-US"/>
        </w:rPr>
        <w:t>American Journal of Public Health</w:t>
      </w:r>
      <w:r w:rsidRPr="00413FEF">
        <w:rPr>
          <w:lang w:val="en-US" w:bidi="en-US"/>
        </w:rPr>
        <w:t xml:space="preserve">, </w:t>
      </w:r>
      <w:r w:rsidRPr="004756F6">
        <w:rPr>
          <w:i/>
          <w:lang w:val="en-US" w:bidi="en-US"/>
        </w:rPr>
        <w:t>81</w:t>
      </w:r>
      <w:r w:rsidRPr="00413FEF">
        <w:rPr>
          <w:lang w:val="en-US" w:bidi="en-US"/>
        </w:rPr>
        <w:t>(11), 1498–1505.</w:t>
      </w:r>
    </w:p>
    <w:p w14:paraId="655E7AC2" w14:textId="6021B563" w:rsidR="00887227" w:rsidRPr="00413FEF" w:rsidRDefault="00887227" w:rsidP="00947ED3">
      <w:pPr>
        <w:spacing w:line="360" w:lineRule="auto"/>
        <w:rPr>
          <w:lang w:val="en-US" w:bidi="en-US"/>
        </w:rPr>
      </w:pPr>
      <w:r w:rsidRPr="00413FEF">
        <w:rPr>
          <w:lang w:val="en-US" w:bidi="en-US"/>
        </w:rPr>
        <w:t xml:space="preserve">Turner, S. </w:t>
      </w:r>
      <w:r w:rsidR="00105263" w:rsidRPr="00413FEF">
        <w:rPr>
          <w:lang w:val="en-US" w:bidi="en-US"/>
        </w:rPr>
        <w:t>(</w:t>
      </w:r>
      <w:r w:rsidRPr="00413FEF">
        <w:rPr>
          <w:lang w:val="en-US" w:bidi="en-US"/>
        </w:rPr>
        <w:t>2001</w:t>
      </w:r>
      <w:r w:rsidR="00105263" w:rsidRPr="00413FEF">
        <w:rPr>
          <w:lang w:val="en-US" w:bidi="en-US"/>
        </w:rPr>
        <w:t>)</w:t>
      </w:r>
      <w:r w:rsidR="00C81726">
        <w:rPr>
          <w:lang w:val="en-US" w:bidi="en-US"/>
        </w:rPr>
        <w:t>.</w:t>
      </w:r>
      <w:r w:rsidRPr="00413FEF">
        <w:rPr>
          <w:lang w:val="en-US" w:bidi="en-US"/>
        </w:rPr>
        <w:t xml:space="preserve"> What </w:t>
      </w:r>
      <w:r w:rsidR="00025FEF">
        <w:rPr>
          <w:lang w:val="en-US" w:bidi="en-US"/>
        </w:rPr>
        <w:t>i</w:t>
      </w:r>
      <w:r w:rsidRPr="00413FEF">
        <w:rPr>
          <w:lang w:val="en-US" w:bidi="en-US"/>
        </w:rPr>
        <w:t xml:space="preserve">s the </w:t>
      </w:r>
      <w:r w:rsidR="00025FEF">
        <w:rPr>
          <w:lang w:val="en-US" w:bidi="en-US"/>
        </w:rPr>
        <w:t>p</w:t>
      </w:r>
      <w:r w:rsidRPr="00413FEF">
        <w:rPr>
          <w:lang w:val="en-US" w:bidi="en-US"/>
        </w:rPr>
        <w:t xml:space="preserve">roblem with </w:t>
      </w:r>
      <w:r w:rsidR="00025FEF">
        <w:rPr>
          <w:lang w:val="en-US" w:bidi="en-US"/>
        </w:rPr>
        <w:t>e</w:t>
      </w:r>
      <w:r w:rsidRPr="00413FEF">
        <w:rPr>
          <w:lang w:val="en-US" w:bidi="en-US"/>
        </w:rPr>
        <w:t xml:space="preserve">xperts?’ </w:t>
      </w:r>
      <w:r w:rsidRPr="00413FEF">
        <w:rPr>
          <w:i/>
          <w:iCs/>
          <w:lang w:val="en-US" w:bidi="en-US"/>
        </w:rPr>
        <w:t>Social Studies of Science</w:t>
      </w:r>
      <w:r w:rsidR="003754E7">
        <w:rPr>
          <w:i/>
          <w:iCs/>
          <w:lang w:val="en-US" w:bidi="en-US"/>
        </w:rPr>
        <w:t>,</w:t>
      </w:r>
      <w:r w:rsidRPr="00413FEF">
        <w:rPr>
          <w:lang w:val="en-US" w:bidi="en-US"/>
        </w:rPr>
        <w:t xml:space="preserve"> </w:t>
      </w:r>
      <w:r w:rsidRPr="004756F6">
        <w:rPr>
          <w:i/>
          <w:lang w:val="en-US" w:bidi="en-US"/>
        </w:rPr>
        <w:t>31</w:t>
      </w:r>
      <w:r w:rsidRPr="00413FEF">
        <w:rPr>
          <w:lang w:val="en-US" w:bidi="en-US"/>
        </w:rPr>
        <w:t>(1): 123–49.</w:t>
      </w:r>
    </w:p>
    <w:p w14:paraId="7498643A" w14:textId="1C83DA50" w:rsidR="00887227" w:rsidRPr="00413FEF" w:rsidRDefault="00887227" w:rsidP="00947ED3">
      <w:pPr>
        <w:spacing w:line="360" w:lineRule="auto"/>
        <w:rPr>
          <w:lang w:val="en-GB" w:bidi="en-US"/>
        </w:rPr>
      </w:pPr>
      <w:r w:rsidRPr="00413FEF">
        <w:rPr>
          <w:lang w:val="en-GB" w:bidi="en-US"/>
        </w:rPr>
        <w:lastRenderedPageBreak/>
        <w:t xml:space="preserve">Walker, </w:t>
      </w:r>
      <w:r w:rsidR="00105263" w:rsidRPr="00413FEF">
        <w:rPr>
          <w:lang w:val="en-GB" w:bidi="en-US"/>
        </w:rPr>
        <w:t xml:space="preserve">M. </w:t>
      </w:r>
      <w:r w:rsidRPr="00413FEF">
        <w:rPr>
          <w:lang w:val="en-GB" w:bidi="en-US"/>
        </w:rPr>
        <w:t xml:space="preserve">U. </w:t>
      </w:r>
      <w:r w:rsidR="0079296A" w:rsidRPr="00413FEF">
        <w:rPr>
          <w:lang w:val="en-GB" w:bidi="en-US"/>
        </w:rPr>
        <w:t>(</w:t>
      </w:r>
      <w:r w:rsidRPr="00413FEF">
        <w:rPr>
          <w:lang w:val="en-GB" w:bidi="en-US"/>
        </w:rPr>
        <w:t>2006</w:t>
      </w:r>
      <w:r w:rsidR="0079296A" w:rsidRPr="00413FEF">
        <w:rPr>
          <w:lang w:val="en-GB" w:bidi="en-US"/>
        </w:rPr>
        <w:t>)</w:t>
      </w:r>
      <w:r w:rsidR="003754E7">
        <w:rPr>
          <w:lang w:val="en-GB" w:bidi="en-US"/>
        </w:rPr>
        <w:t>.</w:t>
      </w:r>
      <w:r w:rsidRPr="00413FEF">
        <w:rPr>
          <w:lang w:val="en-GB" w:bidi="en-US"/>
        </w:rPr>
        <w:t xml:space="preserve"> </w:t>
      </w:r>
      <w:r w:rsidRPr="00413FEF">
        <w:rPr>
          <w:i/>
          <w:iCs/>
          <w:lang w:val="en-GB" w:bidi="en-US"/>
        </w:rPr>
        <w:t xml:space="preserve">Moral Repair: Reconstructing </w:t>
      </w:r>
      <w:r w:rsidR="003754E7">
        <w:rPr>
          <w:i/>
          <w:iCs/>
          <w:lang w:val="en-GB" w:bidi="en-US"/>
        </w:rPr>
        <w:t>m</w:t>
      </w:r>
      <w:r w:rsidRPr="00413FEF">
        <w:rPr>
          <w:i/>
          <w:iCs/>
          <w:lang w:val="en-GB" w:bidi="en-US"/>
        </w:rPr>
        <w:t xml:space="preserve">oral </w:t>
      </w:r>
      <w:r w:rsidR="003754E7">
        <w:rPr>
          <w:i/>
          <w:iCs/>
          <w:lang w:val="en-GB" w:bidi="en-US"/>
        </w:rPr>
        <w:t>r</w:t>
      </w:r>
      <w:r w:rsidRPr="00413FEF">
        <w:rPr>
          <w:i/>
          <w:iCs/>
          <w:lang w:val="en-GB" w:bidi="en-US"/>
        </w:rPr>
        <w:t xml:space="preserve">elations </w:t>
      </w:r>
      <w:r w:rsidR="003754E7">
        <w:rPr>
          <w:i/>
          <w:iCs/>
          <w:lang w:val="en-GB" w:bidi="en-US"/>
        </w:rPr>
        <w:t>a</w:t>
      </w:r>
      <w:r w:rsidRPr="00413FEF">
        <w:rPr>
          <w:i/>
          <w:iCs/>
          <w:lang w:val="en-GB" w:bidi="en-US"/>
        </w:rPr>
        <w:t xml:space="preserve">fter </w:t>
      </w:r>
      <w:r w:rsidR="003754E7">
        <w:rPr>
          <w:i/>
          <w:iCs/>
          <w:lang w:val="en-GB" w:bidi="en-US"/>
        </w:rPr>
        <w:t>w</w:t>
      </w:r>
      <w:r w:rsidRPr="00413FEF">
        <w:rPr>
          <w:i/>
          <w:iCs/>
          <w:lang w:val="en-GB" w:bidi="en-US"/>
        </w:rPr>
        <w:t>rongdoing</w:t>
      </w:r>
      <w:r w:rsidR="003754E7">
        <w:rPr>
          <w:lang w:val="en-GB" w:bidi="en-US"/>
        </w:rPr>
        <w:t>.</w:t>
      </w:r>
      <w:r w:rsidRPr="00413FEF">
        <w:rPr>
          <w:lang w:val="en-GB" w:bidi="en-US"/>
        </w:rPr>
        <w:t xml:space="preserve"> Cambridge University Press.</w:t>
      </w:r>
    </w:p>
    <w:p w14:paraId="1549F9A9" w14:textId="2324CBFA" w:rsidR="00887227" w:rsidRPr="00413FEF" w:rsidRDefault="00887227" w:rsidP="00585A5B">
      <w:pPr>
        <w:spacing w:line="360" w:lineRule="auto"/>
        <w:rPr>
          <w:lang w:val="en-GB" w:bidi="en-US"/>
        </w:rPr>
      </w:pPr>
      <w:r w:rsidRPr="00413FEF">
        <w:rPr>
          <w:lang w:val="en-GB" w:bidi="en-US"/>
        </w:rPr>
        <w:t xml:space="preserve">Warren, </w:t>
      </w:r>
      <w:r w:rsidR="00105263" w:rsidRPr="00413FEF">
        <w:rPr>
          <w:lang w:val="en-GB" w:bidi="en-US"/>
        </w:rPr>
        <w:t xml:space="preserve">M. </w:t>
      </w:r>
      <w:r w:rsidRPr="00413FEF">
        <w:rPr>
          <w:lang w:val="en-GB" w:bidi="en-US"/>
        </w:rPr>
        <w:t>E. (</w:t>
      </w:r>
      <w:r w:rsidR="00260DCF">
        <w:rPr>
          <w:lang w:val="en-GB" w:bidi="en-US"/>
        </w:rPr>
        <w:t>E</w:t>
      </w:r>
      <w:r w:rsidRPr="00413FEF">
        <w:rPr>
          <w:lang w:val="en-GB" w:bidi="en-US"/>
        </w:rPr>
        <w:t>d.)</w:t>
      </w:r>
      <w:r w:rsidR="00260DCF">
        <w:rPr>
          <w:lang w:val="en-GB" w:bidi="en-US"/>
        </w:rPr>
        <w:t>.</w:t>
      </w:r>
      <w:r w:rsidRPr="00413FEF">
        <w:rPr>
          <w:lang w:val="en-GB" w:bidi="en-US"/>
        </w:rPr>
        <w:t xml:space="preserve"> </w:t>
      </w:r>
      <w:r w:rsidR="0079296A" w:rsidRPr="00413FEF">
        <w:rPr>
          <w:lang w:val="en-GB" w:bidi="en-US"/>
        </w:rPr>
        <w:t>(</w:t>
      </w:r>
      <w:r w:rsidRPr="00413FEF">
        <w:rPr>
          <w:lang w:val="en-GB" w:bidi="en-US"/>
        </w:rPr>
        <w:t>1999</w:t>
      </w:r>
      <w:r w:rsidR="0079296A" w:rsidRPr="00413FEF">
        <w:rPr>
          <w:lang w:val="en-GB" w:bidi="en-US"/>
        </w:rPr>
        <w:t>)</w:t>
      </w:r>
      <w:r w:rsidR="00260DCF">
        <w:rPr>
          <w:lang w:val="en-GB" w:bidi="en-US"/>
        </w:rPr>
        <w:t>.</w:t>
      </w:r>
      <w:r w:rsidRPr="00413FEF">
        <w:rPr>
          <w:lang w:val="en-GB" w:bidi="en-US"/>
        </w:rPr>
        <w:t> </w:t>
      </w:r>
      <w:r w:rsidRPr="00413FEF">
        <w:rPr>
          <w:i/>
          <w:iCs/>
          <w:lang w:val="en-GB" w:bidi="en-US"/>
        </w:rPr>
        <w:t xml:space="preserve">Democracy and </w:t>
      </w:r>
      <w:proofErr w:type="spellStart"/>
      <w:r w:rsidRPr="00413FEF">
        <w:rPr>
          <w:i/>
          <w:iCs/>
          <w:lang w:val="en-GB" w:bidi="en-US"/>
        </w:rPr>
        <w:t>Trust</w:t>
      </w:r>
      <w:r w:rsidR="00260DCF">
        <w:rPr>
          <w:i/>
          <w:iCs/>
          <w:lang w:val="en-GB" w:bidi="en-US"/>
        </w:rPr>
        <w:t>.</w:t>
      </w:r>
      <w:r w:rsidRPr="00413FEF">
        <w:rPr>
          <w:lang w:val="en-GB" w:bidi="en-US"/>
        </w:rPr>
        <w:t>Cambridge</w:t>
      </w:r>
      <w:proofErr w:type="spellEnd"/>
      <w:r w:rsidRPr="00413FEF">
        <w:rPr>
          <w:lang w:val="en-GB" w:bidi="en-US"/>
        </w:rPr>
        <w:t xml:space="preserve"> University Press. doi:10.1017/CBO9780511659959</w:t>
      </w:r>
    </w:p>
    <w:p w14:paraId="363B768A" w14:textId="2F529CC0" w:rsidR="00887227" w:rsidRPr="00413FEF" w:rsidRDefault="00887227" w:rsidP="00947ED3">
      <w:pPr>
        <w:spacing w:line="360" w:lineRule="auto"/>
        <w:rPr>
          <w:lang w:val="en-GB" w:bidi="en-US"/>
        </w:rPr>
      </w:pPr>
      <w:r w:rsidRPr="00413FEF">
        <w:rPr>
          <w:lang w:val="en-GB" w:bidi="en-US"/>
        </w:rPr>
        <w:t>Webb, M. O. (199</w:t>
      </w:r>
      <w:r w:rsidR="006F7251" w:rsidRPr="00413FEF">
        <w:rPr>
          <w:lang w:val="en-GB" w:bidi="en-US"/>
        </w:rPr>
        <w:t>3</w:t>
      </w:r>
      <w:r w:rsidRPr="00413FEF">
        <w:rPr>
          <w:lang w:val="en-GB" w:bidi="en-US"/>
        </w:rPr>
        <w:t>)</w:t>
      </w:r>
      <w:r w:rsidR="00260DCF">
        <w:rPr>
          <w:lang w:val="en-GB" w:bidi="en-US"/>
        </w:rPr>
        <w:t>.</w:t>
      </w:r>
      <w:r w:rsidRPr="00413FEF">
        <w:rPr>
          <w:lang w:val="en-GB" w:bidi="en-US"/>
        </w:rPr>
        <w:t xml:space="preserve"> The </w:t>
      </w:r>
      <w:r w:rsidR="00260DCF">
        <w:rPr>
          <w:lang w:val="en-GB" w:bidi="en-US"/>
        </w:rPr>
        <w:t>e</w:t>
      </w:r>
      <w:r w:rsidRPr="00413FEF">
        <w:rPr>
          <w:lang w:val="en-GB" w:bidi="en-US"/>
        </w:rPr>
        <w:t xml:space="preserve">pistemology of </w:t>
      </w:r>
      <w:r w:rsidR="00260DCF">
        <w:rPr>
          <w:lang w:val="en-GB" w:bidi="en-US"/>
        </w:rPr>
        <w:t>t</w:t>
      </w:r>
      <w:r w:rsidRPr="00413FEF">
        <w:rPr>
          <w:lang w:val="en-GB" w:bidi="en-US"/>
        </w:rPr>
        <w:t xml:space="preserve">rust and the </w:t>
      </w:r>
      <w:r w:rsidR="00260DCF">
        <w:rPr>
          <w:lang w:val="en-GB" w:bidi="en-US"/>
        </w:rPr>
        <w:t>p</w:t>
      </w:r>
      <w:r w:rsidRPr="00413FEF">
        <w:rPr>
          <w:lang w:val="en-GB" w:bidi="en-US"/>
        </w:rPr>
        <w:t xml:space="preserve">olitics of </w:t>
      </w:r>
      <w:r w:rsidR="00260DCF">
        <w:rPr>
          <w:lang w:val="en-GB" w:bidi="en-US"/>
        </w:rPr>
        <w:t>s</w:t>
      </w:r>
      <w:r w:rsidRPr="00413FEF">
        <w:rPr>
          <w:lang w:val="en-GB" w:bidi="en-US"/>
        </w:rPr>
        <w:t>uspicion</w:t>
      </w:r>
      <w:r w:rsidR="00D83B4D" w:rsidRPr="00413FEF">
        <w:rPr>
          <w:lang w:val="en-GB" w:bidi="en-US"/>
        </w:rPr>
        <w:t>.</w:t>
      </w:r>
      <w:r w:rsidRPr="00413FEF">
        <w:rPr>
          <w:lang w:val="en-GB" w:bidi="en-US"/>
        </w:rPr>
        <w:t> </w:t>
      </w:r>
      <w:r w:rsidRPr="00413FEF">
        <w:rPr>
          <w:i/>
          <w:iCs/>
          <w:lang w:val="en-GB" w:bidi="en-US"/>
        </w:rPr>
        <w:t>Pacific Philosophical Quarterly</w:t>
      </w:r>
      <w:r w:rsidR="00260DCF">
        <w:rPr>
          <w:i/>
          <w:iCs/>
          <w:lang w:val="en-GB" w:bidi="en-US"/>
        </w:rPr>
        <w:t>,</w:t>
      </w:r>
      <w:r w:rsidRPr="00413FEF">
        <w:rPr>
          <w:lang w:val="en-GB" w:bidi="en-US"/>
        </w:rPr>
        <w:t xml:space="preserve"> </w:t>
      </w:r>
      <w:r w:rsidRPr="004756F6">
        <w:rPr>
          <w:i/>
          <w:lang w:val="en-GB" w:bidi="en-US"/>
        </w:rPr>
        <w:t>73</w:t>
      </w:r>
      <w:r w:rsidRPr="00413FEF">
        <w:rPr>
          <w:lang w:val="en-GB" w:bidi="en-US"/>
        </w:rPr>
        <w:t>(4)</w:t>
      </w:r>
      <w:r w:rsidR="00260DCF">
        <w:rPr>
          <w:lang w:val="en-GB" w:bidi="en-US"/>
        </w:rPr>
        <w:t>,</w:t>
      </w:r>
      <w:r w:rsidRPr="00413FEF">
        <w:rPr>
          <w:lang w:val="en-GB" w:bidi="en-US"/>
        </w:rPr>
        <w:t xml:space="preserve"> 390–400. doi:10.1111/j.1468-</w:t>
      </w:r>
      <w:proofErr w:type="gramStart"/>
      <w:r w:rsidRPr="00413FEF">
        <w:rPr>
          <w:lang w:val="en-GB" w:bidi="en-US"/>
        </w:rPr>
        <w:t>0114.1992.tb</w:t>
      </w:r>
      <w:proofErr w:type="gramEnd"/>
      <w:r w:rsidRPr="00413FEF">
        <w:rPr>
          <w:lang w:val="en-GB" w:bidi="en-US"/>
        </w:rPr>
        <w:t>00346.x</w:t>
      </w:r>
    </w:p>
    <w:p w14:paraId="746BBC4F" w14:textId="3A6E0369" w:rsidR="00887227" w:rsidRPr="00413FEF" w:rsidRDefault="00887227" w:rsidP="00947ED3">
      <w:pPr>
        <w:spacing w:line="360" w:lineRule="auto"/>
        <w:rPr>
          <w:lang w:val="en-US" w:bidi="en-US"/>
        </w:rPr>
      </w:pPr>
      <w:r w:rsidRPr="00413FEF">
        <w:rPr>
          <w:lang w:val="en-US" w:bidi="en-US"/>
        </w:rPr>
        <w:t>Wilholt, T. (2013)</w:t>
      </w:r>
      <w:r w:rsidR="00260DCF">
        <w:rPr>
          <w:lang w:val="en-US" w:bidi="en-US"/>
        </w:rPr>
        <w:t>.</w:t>
      </w:r>
      <w:r w:rsidRPr="00413FEF">
        <w:rPr>
          <w:lang w:val="en-US" w:bidi="en-US"/>
        </w:rPr>
        <w:t xml:space="preserve"> Epistemic </w:t>
      </w:r>
      <w:r w:rsidR="00260DCF">
        <w:rPr>
          <w:lang w:val="en-US" w:bidi="en-US"/>
        </w:rPr>
        <w:t>t</w:t>
      </w:r>
      <w:r w:rsidRPr="00413FEF">
        <w:rPr>
          <w:lang w:val="en-US" w:bidi="en-US"/>
        </w:rPr>
        <w:t xml:space="preserve">rust in </w:t>
      </w:r>
      <w:r w:rsidR="00260DCF">
        <w:rPr>
          <w:lang w:val="en-US" w:bidi="en-US"/>
        </w:rPr>
        <w:t>s</w:t>
      </w:r>
      <w:r w:rsidRPr="00413FEF">
        <w:rPr>
          <w:lang w:val="en-US" w:bidi="en-US"/>
        </w:rPr>
        <w:t xml:space="preserve">cience. </w:t>
      </w:r>
      <w:r w:rsidRPr="00413FEF">
        <w:rPr>
          <w:i/>
          <w:iCs/>
          <w:lang w:val="en-US" w:bidi="en-US"/>
        </w:rPr>
        <w:t>British Journal for Philosophy of Science</w:t>
      </w:r>
      <w:r w:rsidRPr="00413FEF">
        <w:rPr>
          <w:lang w:val="en-US" w:bidi="en-US"/>
        </w:rPr>
        <w:t>, 64, 233-253.</w:t>
      </w:r>
    </w:p>
    <w:p w14:paraId="64241424" w14:textId="378A9B97" w:rsidR="00887227" w:rsidRPr="00413FEF" w:rsidRDefault="00887227" w:rsidP="00947ED3">
      <w:pPr>
        <w:spacing w:line="360" w:lineRule="auto"/>
        <w:rPr>
          <w:lang w:val="en-US" w:bidi="en-US"/>
        </w:rPr>
      </w:pPr>
      <w:r w:rsidRPr="00413FEF">
        <w:rPr>
          <w:lang w:val="en-US" w:bidi="en-US"/>
        </w:rPr>
        <w:t xml:space="preserve">Williams, B. </w:t>
      </w:r>
      <w:r w:rsidR="00105263" w:rsidRPr="00413FEF">
        <w:rPr>
          <w:lang w:val="en-US" w:bidi="en-US"/>
        </w:rPr>
        <w:t>(</w:t>
      </w:r>
      <w:r w:rsidRPr="00413FEF">
        <w:rPr>
          <w:lang w:val="en-US" w:bidi="en-US"/>
        </w:rPr>
        <w:t>1979</w:t>
      </w:r>
      <w:r w:rsidR="00105263" w:rsidRPr="00413FEF">
        <w:rPr>
          <w:lang w:val="en-US" w:bidi="en-US"/>
        </w:rPr>
        <w:t>)</w:t>
      </w:r>
      <w:r w:rsidR="00260DCF">
        <w:rPr>
          <w:lang w:val="en-US" w:bidi="en-US"/>
        </w:rPr>
        <w:t>.</w:t>
      </w:r>
      <w:r w:rsidRPr="00413FEF">
        <w:rPr>
          <w:lang w:val="en-US" w:bidi="en-US"/>
        </w:rPr>
        <w:t xml:space="preserve"> Internal and </w:t>
      </w:r>
      <w:r w:rsidR="00260DCF">
        <w:rPr>
          <w:lang w:val="en-US" w:bidi="en-US"/>
        </w:rPr>
        <w:t>e</w:t>
      </w:r>
      <w:r w:rsidRPr="00413FEF">
        <w:rPr>
          <w:lang w:val="en-US" w:bidi="en-US"/>
        </w:rPr>
        <w:t xml:space="preserve">xternal </w:t>
      </w:r>
      <w:r w:rsidR="00260DCF">
        <w:rPr>
          <w:lang w:val="en-US" w:bidi="en-US"/>
        </w:rPr>
        <w:t>r</w:t>
      </w:r>
      <w:r w:rsidRPr="00413FEF">
        <w:rPr>
          <w:lang w:val="en-US" w:bidi="en-US"/>
        </w:rPr>
        <w:t>easons. In</w:t>
      </w:r>
      <w:r w:rsidR="00105263" w:rsidRPr="00413FEF">
        <w:rPr>
          <w:lang w:val="en-US" w:bidi="en-US"/>
        </w:rPr>
        <w:t xml:space="preserve"> </w:t>
      </w:r>
      <w:r w:rsidR="002D660D">
        <w:rPr>
          <w:lang w:val="en-US" w:bidi="en-US"/>
        </w:rPr>
        <w:t xml:space="preserve">R. </w:t>
      </w:r>
      <w:proofErr w:type="gramStart"/>
      <w:r w:rsidR="00105263" w:rsidRPr="00413FEF">
        <w:rPr>
          <w:lang w:val="en-US" w:bidi="en-US"/>
        </w:rPr>
        <w:t>Harrison</w:t>
      </w:r>
      <w:r w:rsidR="002D660D">
        <w:rPr>
          <w:lang w:val="en-US" w:bidi="en-US"/>
        </w:rPr>
        <w:t xml:space="preserve"> </w:t>
      </w:r>
      <w:r w:rsidR="00105263" w:rsidRPr="00413FEF">
        <w:rPr>
          <w:lang w:val="en-US" w:bidi="en-US"/>
        </w:rPr>
        <w:t xml:space="preserve"> (</w:t>
      </w:r>
      <w:proofErr w:type="gramEnd"/>
      <w:r w:rsidR="002D660D">
        <w:rPr>
          <w:lang w:val="en-US" w:bidi="en-US"/>
        </w:rPr>
        <w:t>E</w:t>
      </w:r>
      <w:r w:rsidR="00105263" w:rsidRPr="00413FEF">
        <w:rPr>
          <w:lang w:val="en-US" w:bidi="en-US"/>
        </w:rPr>
        <w:t>d.)</w:t>
      </w:r>
      <w:r w:rsidR="002D660D">
        <w:rPr>
          <w:lang w:val="en-US" w:bidi="en-US"/>
        </w:rPr>
        <w:t>,</w:t>
      </w:r>
      <w:r w:rsidRPr="00413FEF">
        <w:rPr>
          <w:lang w:val="en-US" w:bidi="en-US"/>
        </w:rPr>
        <w:t xml:space="preserve"> </w:t>
      </w:r>
      <w:r w:rsidRPr="00413FEF">
        <w:rPr>
          <w:i/>
          <w:iCs/>
          <w:lang w:val="en-US" w:bidi="en-US"/>
        </w:rPr>
        <w:t xml:space="preserve">Rational </w:t>
      </w:r>
      <w:r w:rsidR="002D660D">
        <w:rPr>
          <w:i/>
          <w:iCs/>
          <w:lang w:val="en-US" w:bidi="en-US"/>
        </w:rPr>
        <w:t>a</w:t>
      </w:r>
      <w:r w:rsidRPr="00413FEF">
        <w:rPr>
          <w:i/>
          <w:iCs/>
          <w:lang w:val="en-US" w:bidi="en-US"/>
        </w:rPr>
        <w:t>ction</w:t>
      </w:r>
      <w:r w:rsidR="00105263" w:rsidRPr="00413FEF">
        <w:rPr>
          <w:lang w:val="en-US" w:bidi="en-US"/>
        </w:rPr>
        <w:t>,</w:t>
      </w:r>
      <w:r w:rsidRPr="00413FEF">
        <w:rPr>
          <w:lang w:val="en-US" w:bidi="en-US"/>
        </w:rPr>
        <w:t xml:space="preserve"> 101–13. Cambridge University Press.</w:t>
      </w:r>
    </w:p>
    <w:p w14:paraId="57258337" w14:textId="4E3EBC4C" w:rsidR="00887227" w:rsidRPr="00413FEF" w:rsidRDefault="00887227" w:rsidP="00AC05EB">
      <w:pPr>
        <w:spacing w:line="360" w:lineRule="auto"/>
        <w:rPr>
          <w:lang w:val="en-US" w:bidi="en-US"/>
        </w:rPr>
      </w:pPr>
      <w:proofErr w:type="spellStart"/>
      <w:r w:rsidRPr="00413FEF">
        <w:rPr>
          <w:lang w:val="en-US" w:bidi="en-US"/>
        </w:rPr>
        <w:t>Wilsdon</w:t>
      </w:r>
      <w:proofErr w:type="spellEnd"/>
      <w:r w:rsidRPr="00413FEF">
        <w:rPr>
          <w:lang w:val="en-US" w:bidi="en-US"/>
        </w:rPr>
        <w:t>, J.</w:t>
      </w:r>
      <w:r w:rsidR="002D660D">
        <w:rPr>
          <w:lang w:val="en-US" w:bidi="en-US"/>
        </w:rPr>
        <w:t>, &amp;</w:t>
      </w:r>
      <w:r w:rsidRPr="00413FEF">
        <w:rPr>
          <w:lang w:val="en-US" w:bidi="en-US"/>
        </w:rPr>
        <w:t xml:space="preserve"> Willis, R. </w:t>
      </w:r>
      <w:r w:rsidR="00105263" w:rsidRPr="00413FEF">
        <w:rPr>
          <w:lang w:val="en-US" w:bidi="en-US"/>
        </w:rPr>
        <w:t>(</w:t>
      </w:r>
      <w:r w:rsidRPr="00413FEF">
        <w:rPr>
          <w:lang w:val="en-US" w:bidi="en-US"/>
        </w:rPr>
        <w:t>2004</w:t>
      </w:r>
      <w:r w:rsidR="00105263" w:rsidRPr="00413FEF">
        <w:rPr>
          <w:lang w:val="en-US" w:bidi="en-US"/>
        </w:rPr>
        <w:t>)</w:t>
      </w:r>
      <w:r w:rsidR="002D660D">
        <w:rPr>
          <w:lang w:val="en-US" w:bidi="en-US"/>
        </w:rPr>
        <w:t>.</w:t>
      </w:r>
      <w:r w:rsidRPr="00413FEF">
        <w:rPr>
          <w:lang w:val="en-US" w:bidi="en-US"/>
        </w:rPr>
        <w:t xml:space="preserve"> See-through </w:t>
      </w:r>
      <w:r w:rsidR="002D660D">
        <w:rPr>
          <w:lang w:val="en-US" w:bidi="en-US"/>
        </w:rPr>
        <w:t>s</w:t>
      </w:r>
      <w:r w:rsidRPr="00413FEF">
        <w:rPr>
          <w:lang w:val="en-US" w:bidi="en-US"/>
        </w:rPr>
        <w:t xml:space="preserve">cience: Why public engagement needs to move upstream. </w:t>
      </w:r>
      <w:r w:rsidRPr="00413FEF">
        <w:rPr>
          <w:i/>
          <w:iCs/>
          <w:lang w:val="en-US" w:bidi="en-US"/>
        </w:rPr>
        <w:t>DEMOS</w:t>
      </w:r>
      <w:r w:rsidRPr="00413FEF">
        <w:rPr>
          <w:lang w:val="en-US" w:bidi="en-US"/>
        </w:rPr>
        <w:t>.</w:t>
      </w:r>
    </w:p>
    <w:p w14:paraId="5527C286" w14:textId="28CFAD12" w:rsidR="00887227" w:rsidRPr="00413FEF" w:rsidRDefault="00887227" w:rsidP="00947ED3">
      <w:pPr>
        <w:spacing w:line="360" w:lineRule="auto"/>
        <w:rPr>
          <w:lang w:val="en-US" w:bidi="en-US"/>
        </w:rPr>
      </w:pPr>
      <w:r w:rsidRPr="00413FEF">
        <w:rPr>
          <w:lang w:val="en-US" w:bidi="en-US"/>
        </w:rPr>
        <w:t xml:space="preserve">Wylie, A. </w:t>
      </w:r>
      <w:r w:rsidR="00105263" w:rsidRPr="00413FEF">
        <w:rPr>
          <w:lang w:val="en-US" w:bidi="en-US"/>
        </w:rPr>
        <w:t>(</w:t>
      </w:r>
      <w:r w:rsidRPr="00413FEF">
        <w:rPr>
          <w:lang w:val="en-US" w:bidi="en-US"/>
        </w:rPr>
        <w:t>2003</w:t>
      </w:r>
      <w:r w:rsidR="00105263" w:rsidRPr="00413FEF">
        <w:rPr>
          <w:lang w:val="en-US" w:bidi="en-US"/>
        </w:rPr>
        <w:t>)</w:t>
      </w:r>
      <w:r w:rsidR="002D660D">
        <w:rPr>
          <w:lang w:val="en-US" w:bidi="en-US"/>
        </w:rPr>
        <w:t>.</w:t>
      </w:r>
      <w:r w:rsidRPr="00413FEF">
        <w:rPr>
          <w:lang w:val="en-US" w:bidi="en-US"/>
        </w:rPr>
        <w:t xml:space="preserve"> Why </w:t>
      </w:r>
      <w:r w:rsidR="002D7121">
        <w:rPr>
          <w:lang w:val="en-US" w:bidi="en-US"/>
        </w:rPr>
        <w:t>s</w:t>
      </w:r>
      <w:r w:rsidRPr="00413FEF">
        <w:rPr>
          <w:lang w:val="en-US" w:bidi="en-US"/>
        </w:rPr>
        <w:t xml:space="preserve">tandpoint </w:t>
      </w:r>
      <w:r w:rsidR="002D7121">
        <w:rPr>
          <w:lang w:val="en-US" w:bidi="en-US"/>
        </w:rPr>
        <w:t>m</w:t>
      </w:r>
      <w:r w:rsidRPr="00413FEF">
        <w:rPr>
          <w:lang w:val="en-US" w:bidi="en-US"/>
        </w:rPr>
        <w:t xml:space="preserve">atters. In </w:t>
      </w:r>
      <w:r w:rsidR="002D7121" w:rsidRPr="00413FEF">
        <w:rPr>
          <w:lang w:val="en-US" w:bidi="en-US"/>
        </w:rPr>
        <w:t>R</w:t>
      </w:r>
      <w:r w:rsidR="002D7121">
        <w:rPr>
          <w:lang w:val="en-US" w:bidi="en-US"/>
        </w:rPr>
        <w:t>.</w:t>
      </w:r>
      <w:r w:rsidR="002D7121" w:rsidRPr="00413FEF">
        <w:rPr>
          <w:lang w:val="en-US" w:bidi="en-US"/>
        </w:rPr>
        <w:t xml:space="preserve"> Figueroa </w:t>
      </w:r>
      <w:r w:rsidR="002D7121">
        <w:rPr>
          <w:lang w:val="en-US" w:bidi="en-US"/>
        </w:rPr>
        <w:t>&amp;</w:t>
      </w:r>
      <w:r w:rsidR="002D7121" w:rsidRPr="00413FEF">
        <w:rPr>
          <w:lang w:val="en-US" w:bidi="en-US"/>
        </w:rPr>
        <w:t xml:space="preserve"> S</w:t>
      </w:r>
      <w:r w:rsidR="002D7121">
        <w:rPr>
          <w:lang w:val="en-US" w:bidi="en-US"/>
        </w:rPr>
        <w:t>.</w:t>
      </w:r>
      <w:r w:rsidR="002D7121" w:rsidRPr="00413FEF">
        <w:rPr>
          <w:lang w:val="en-US" w:bidi="en-US"/>
        </w:rPr>
        <w:t xml:space="preserve"> G. Harding</w:t>
      </w:r>
      <w:r w:rsidR="002D7121">
        <w:rPr>
          <w:lang w:val="en-US" w:bidi="en-US"/>
        </w:rPr>
        <w:t xml:space="preserve"> (Eds.)</w:t>
      </w:r>
      <w:r w:rsidR="002D7121" w:rsidRPr="00413FEF">
        <w:rPr>
          <w:lang w:val="en-US" w:bidi="en-US"/>
        </w:rPr>
        <w:t xml:space="preserve">, </w:t>
      </w:r>
      <w:r w:rsidRPr="00413FEF">
        <w:rPr>
          <w:i/>
          <w:iCs/>
          <w:lang w:val="en-US" w:bidi="en-US"/>
        </w:rPr>
        <w:t xml:space="preserve">Science and </w:t>
      </w:r>
      <w:r w:rsidR="002D7121">
        <w:rPr>
          <w:i/>
          <w:iCs/>
          <w:lang w:val="en-US" w:bidi="en-US"/>
        </w:rPr>
        <w:t>o</w:t>
      </w:r>
      <w:r w:rsidRPr="00413FEF">
        <w:rPr>
          <w:i/>
          <w:iCs/>
          <w:lang w:val="en-US" w:bidi="en-US"/>
        </w:rPr>
        <w:t xml:space="preserve">ther </w:t>
      </w:r>
      <w:r w:rsidR="002D7121">
        <w:rPr>
          <w:i/>
          <w:iCs/>
          <w:lang w:val="en-US" w:bidi="en-US"/>
        </w:rPr>
        <w:t>c</w:t>
      </w:r>
      <w:r w:rsidRPr="00413FEF">
        <w:rPr>
          <w:i/>
          <w:iCs/>
          <w:lang w:val="en-US" w:bidi="en-US"/>
        </w:rPr>
        <w:t xml:space="preserve">ultures: Issues in </w:t>
      </w:r>
      <w:r w:rsidR="002D7121">
        <w:rPr>
          <w:i/>
          <w:iCs/>
          <w:lang w:val="en-US" w:bidi="en-US"/>
        </w:rPr>
        <w:t>p</w:t>
      </w:r>
      <w:r w:rsidRPr="00413FEF">
        <w:rPr>
          <w:i/>
          <w:iCs/>
          <w:lang w:val="en-US" w:bidi="en-US"/>
        </w:rPr>
        <w:t xml:space="preserve">hilosophies of </w:t>
      </w:r>
      <w:r w:rsidR="002D7121">
        <w:rPr>
          <w:i/>
          <w:iCs/>
          <w:lang w:val="en-US" w:bidi="en-US"/>
        </w:rPr>
        <w:t>s</w:t>
      </w:r>
      <w:r w:rsidRPr="00413FEF">
        <w:rPr>
          <w:i/>
          <w:iCs/>
          <w:lang w:val="en-US" w:bidi="en-US"/>
        </w:rPr>
        <w:t xml:space="preserve">cience and </w:t>
      </w:r>
      <w:r w:rsidR="002D7121">
        <w:rPr>
          <w:i/>
          <w:iCs/>
          <w:lang w:val="en-US" w:bidi="en-US"/>
        </w:rPr>
        <w:t>t</w:t>
      </w:r>
      <w:r w:rsidRPr="00413FEF">
        <w:rPr>
          <w:i/>
          <w:iCs/>
          <w:lang w:val="en-US" w:bidi="en-US"/>
        </w:rPr>
        <w:t>echnology</w:t>
      </w:r>
      <w:r w:rsidR="002D7121">
        <w:rPr>
          <w:i/>
          <w:iCs/>
          <w:lang w:val="en-US" w:bidi="en-US"/>
        </w:rPr>
        <w:t xml:space="preserve"> </w:t>
      </w:r>
      <w:r w:rsidR="002D7121" w:rsidRPr="004756F6">
        <w:rPr>
          <w:iCs/>
          <w:lang w:val="en-US" w:bidi="en-US"/>
        </w:rPr>
        <w:t>(pp. 26-48)</w:t>
      </w:r>
      <w:r w:rsidR="002D7121">
        <w:rPr>
          <w:lang w:val="en-US" w:bidi="en-US"/>
        </w:rPr>
        <w:t>.</w:t>
      </w:r>
      <w:r w:rsidR="00105263" w:rsidRPr="00413FEF">
        <w:rPr>
          <w:lang w:val="en-US" w:bidi="en-US"/>
        </w:rPr>
        <w:t xml:space="preserve"> </w:t>
      </w:r>
      <w:r w:rsidRPr="00413FEF">
        <w:rPr>
          <w:lang w:val="en-US" w:bidi="en-US"/>
        </w:rPr>
        <w:t>Routledge.</w:t>
      </w:r>
    </w:p>
    <w:p w14:paraId="64DE3B09" w14:textId="72F663A2" w:rsidR="001951B0" w:rsidRPr="00413FEF" w:rsidRDefault="001951B0" w:rsidP="00CB66D0">
      <w:pPr>
        <w:rPr>
          <w:lang w:val="en-US" w:bidi="en-US"/>
        </w:rPr>
      </w:pPr>
    </w:p>
    <w:sectPr w:rsidR="001951B0" w:rsidRPr="00413FEF" w:rsidSect="005F3EB8">
      <w:footerReference w:type="even" r:id="rId16"/>
      <w:footerReference w:type="default" r:id="rId17"/>
      <w:footnotePr>
        <w:pos w:val="beneathText"/>
      </w:footnotePr>
      <w:endnotePr>
        <w:numFmt w:val="decimal"/>
      </w:endnotePr>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zeni Hovakimyan" w:date="2025-05-27T15:04:00Z" w:initials="NH">
    <w:p w14:paraId="1E7684FF" w14:textId="77777777" w:rsidR="00630E2C" w:rsidRDefault="00630E2C">
      <w:pPr>
        <w:pStyle w:val="CommentText"/>
        <w:rPr>
          <w:noProof/>
        </w:rPr>
      </w:pPr>
      <w:r>
        <w:rPr>
          <w:rStyle w:val="CommentReference"/>
        </w:rPr>
        <w:annotationRef/>
      </w:r>
      <w:r>
        <w:rPr>
          <w:noProof/>
        </w:rPr>
        <w:t>do you mean value-neutral?</w:t>
      </w:r>
    </w:p>
    <w:p w14:paraId="43CA2C4D" w14:textId="525192B8" w:rsidR="00630E2C" w:rsidRDefault="00630E2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CA2C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CA2C4D" w16cid:durableId="43CA2C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89A40" w14:textId="77777777" w:rsidR="00F03EC1" w:rsidRDefault="00F03EC1" w:rsidP="0094465B">
      <w:r>
        <w:separator/>
      </w:r>
    </w:p>
  </w:endnote>
  <w:endnote w:type="continuationSeparator" w:id="0">
    <w:p w14:paraId="54050829" w14:textId="77777777" w:rsidR="00F03EC1" w:rsidRDefault="00F03EC1" w:rsidP="0094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26358"/>
      <w:docPartObj>
        <w:docPartGallery w:val="Page Numbers (Bottom of Page)"/>
        <w:docPartUnique/>
      </w:docPartObj>
    </w:sdtPr>
    <w:sdtContent>
      <w:p w14:paraId="371AD849" w14:textId="36BCC6D0" w:rsidR="00630E2C" w:rsidRDefault="00630E2C" w:rsidP="00755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A892F7" w14:textId="77777777" w:rsidR="00630E2C" w:rsidRDefault="00630E2C" w:rsidP="001951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421422"/>
      <w:docPartObj>
        <w:docPartGallery w:val="Page Numbers (Bottom of Page)"/>
        <w:docPartUnique/>
      </w:docPartObj>
    </w:sdtPr>
    <w:sdtContent>
      <w:p w14:paraId="0A8FE65F" w14:textId="769F92B1" w:rsidR="00630E2C" w:rsidRDefault="00630E2C" w:rsidP="00755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3A23">
          <w:rPr>
            <w:rStyle w:val="PageNumber"/>
            <w:noProof/>
          </w:rPr>
          <w:t>20</w:t>
        </w:r>
        <w:r>
          <w:rPr>
            <w:rStyle w:val="PageNumber"/>
          </w:rPr>
          <w:fldChar w:fldCharType="end"/>
        </w:r>
      </w:p>
    </w:sdtContent>
  </w:sdt>
  <w:p w14:paraId="7BEB3CFE" w14:textId="77777777" w:rsidR="00630E2C" w:rsidRDefault="00630E2C" w:rsidP="001951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1C136" w14:textId="77777777" w:rsidR="00F03EC1" w:rsidRDefault="00F03EC1" w:rsidP="0094465B">
      <w:r>
        <w:separator/>
      </w:r>
    </w:p>
  </w:footnote>
  <w:footnote w:type="continuationSeparator" w:id="0">
    <w:p w14:paraId="6B69BCE7" w14:textId="77777777" w:rsidR="00F03EC1" w:rsidRDefault="00F03EC1" w:rsidP="0094465B">
      <w:r>
        <w:continuationSeparator/>
      </w:r>
    </w:p>
  </w:footnote>
  <w:footnote w:id="1">
    <w:p w14:paraId="6F991500" w14:textId="06DA29F5" w:rsidR="00630E2C" w:rsidRPr="009A22FB" w:rsidRDefault="00630E2C" w:rsidP="00CA4407">
      <w:pPr>
        <w:pStyle w:val="EndnoteText"/>
        <w:rPr>
          <w:rFonts w:asciiTheme="majorBidi" w:hAnsiTheme="majorBidi" w:cstheme="majorBidi"/>
          <w:lang w:val="en-GB"/>
        </w:rPr>
      </w:pPr>
      <w:r>
        <w:rPr>
          <w:rStyle w:val="FootnoteReference"/>
        </w:rPr>
        <w:footnoteRef/>
      </w:r>
      <w:r>
        <w:t xml:space="preserve"> </w:t>
      </w:r>
      <w:r w:rsidRPr="00B77D7E">
        <w:t>This literature review i</w:t>
      </w:r>
      <w:r w:rsidRPr="006A1884">
        <w:rPr>
          <w:rFonts w:asciiTheme="majorBidi" w:hAnsiTheme="majorBidi" w:cstheme="majorBidi"/>
        </w:rPr>
        <w:t xml:space="preserve">s based on the </w:t>
      </w:r>
      <w:r w:rsidRPr="005D46FA">
        <w:rPr>
          <w:rFonts w:asciiTheme="majorBidi" w:hAnsiTheme="majorBidi" w:cstheme="majorBidi"/>
          <w:bdr w:val="none" w:sz="0" w:space="0" w:color="auto" w:frame="1"/>
        </w:rPr>
        <w:t>White Paper on the ethics of trust in and the trustworthiness of experts</w:t>
      </w:r>
      <w:r w:rsidRPr="006A1884">
        <w:rPr>
          <w:rFonts w:asciiTheme="majorBidi" w:hAnsiTheme="majorBidi" w:cstheme="majorBidi"/>
        </w:rPr>
        <w:t xml:space="preserve">, a deliverable of the Horizon 2020 Research and Innovation Project, PERITIA. </w:t>
      </w:r>
      <w:r w:rsidRPr="006A1884">
        <w:rPr>
          <w:rFonts w:asciiTheme="majorBidi" w:hAnsiTheme="majorBidi" w:cstheme="majorBidi"/>
          <w:lang w:val="en-GB"/>
        </w:rPr>
        <w:t>Companion papers</w:t>
      </w:r>
      <w:r>
        <w:rPr>
          <w:rFonts w:asciiTheme="majorBidi" w:hAnsiTheme="majorBidi" w:cstheme="majorBidi"/>
          <w:lang w:val="en-GB"/>
        </w:rPr>
        <w:t xml:space="preserve"> were published by </w:t>
      </w:r>
      <w:r w:rsidRPr="006A1884">
        <w:rPr>
          <w:rFonts w:asciiTheme="majorBidi" w:hAnsiTheme="majorBidi" w:cstheme="majorBidi"/>
        </w:rPr>
        <w:t>Croce,</w:t>
      </w:r>
      <w:r>
        <w:rPr>
          <w:rFonts w:asciiTheme="majorBidi" w:hAnsiTheme="majorBidi" w:cstheme="majorBidi"/>
        </w:rPr>
        <w:t> M., &amp; Baghramian, M. (2024). </w:t>
      </w:r>
      <w:r w:rsidRPr="00B03A31">
        <w:rPr>
          <w:rFonts w:asciiTheme="majorBidi" w:hAnsiTheme="majorBidi" w:cstheme="majorBidi"/>
          <w:lang w:val="en-US"/>
        </w:rPr>
        <w:t>Work on th</w:t>
      </w:r>
      <w:r>
        <w:rPr>
          <w:rFonts w:asciiTheme="majorBidi" w:hAnsiTheme="majorBidi" w:cstheme="majorBidi"/>
          <w:lang w:val="en-US"/>
        </w:rPr>
        <w:t>e original White</w:t>
      </w:r>
      <w:r w:rsidRPr="00B03A31">
        <w:rPr>
          <w:rFonts w:asciiTheme="majorBidi" w:hAnsiTheme="majorBidi" w:cstheme="majorBidi"/>
          <w:lang w:val="en-US"/>
        </w:rPr>
        <w:t xml:space="preserve"> </w:t>
      </w:r>
      <w:r>
        <w:rPr>
          <w:rFonts w:asciiTheme="majorBidi" w:hAnsiTheme="majorBidi" w:cstheme="majorBidi"/>
          <w:lang w:val="en-US"/>
        </w:rPr>
        <w:t>Paper was made possible by</w:t>
      </w:r>
      <w:r w:rsidRPr="00B03A31">
        <w:rPr>
          <w:rFonts w:asciiTheme="majorBidi" w:hAnsiTheme="majorBidi" w:cstheme="majorBidi"/>
          <w:lang w:val="en-US"/>
        </w:rPr>
        <w:t xml:space="preserve"> the European Union’s Horizon 2020 research and innovation programme under grant agreement No 870883.</w:t>
      </w:r>
      <w:r>
        <w:rPr>
          <w:rFonts w:asciiTheme="majorBidi" w:hAnsiTheme="majorBidi" w:cstheme="majorBidi"/>
          <w:lang w:val="en-US"/>
        </w:rPr>
        <w:t xml:space="preserve"> More recently, additional work on this article by Baghramian was made possible by </w:t>
      </w:r>
      <w:r w:rsidRPr="00627C0A">
        <w:rPr>
          <w:rFonts w:asciiTheme="majorBidi" w:hAnsiTheme="majorBidi" w:cstheme="majorBidi"/>
        </w:rPr>
        <w:t>Horizon Europe ERA Chair Project ETICA under grant agreement ID:101187166. </w:t>
      </w:r>
      <w:r w:rsidRPr="009A22FB">
        <w:rPr>
          <w:rFonts w:asciiTheme="majorBidi" w:hAnsiTheme="majorBidi" w:cstheme="majorBidi"/>
          <w:color w:val="222222"/>
          <w:shd w:val="clear" w:color="auto" w:fill="FFFFFF"/>
        </w:rPr>
        <w:t>The views and opinions expressed are</w:t>
      </w:r>
      <w:r>
        <w:rPr>
          <w:rFonts w:asciiTheme="majorBidi" w:hAnsiTheme="majorBidi" w:cstheme="majorBidi"/>
          <w:color w:val="222222"/>
          <w:shd w:val="clear" w:color="auto" w:fill="FFFFFF"/>
        </w:rPr>
        <w:t>,</w:t>
      </w:r>
      <w:r w:rsidRPr="009A22FB">
        <w:rPr>
          <w:rFonts w:asciiTheme="majorBidi" w:hAnsiTheme="majorBidi" w:cstheme="majorBidi"/>
          <w:color w:val="222222"/>
          <w:shd w:val="clear" w:color="auto" w:fill="FFFFFF"/>
        </w:rPr>
        <w:t xml:space="preserve"> however</w:t>
      </w:r>
      <w:r>
        <w:rPr>
          <w:rFonts w:asciiTheme="majorBidi" w:hAnsiTheme="majorBidi" w:cstheme="majorBidi"/>
          <w:color w:val="222222"/>
          <w:shd w:val="clear" w:color="auto" w:fill="FFFFFF"/>
        </w:rPr>
        <w:t>,</w:t>
      </w:r>
      <w:r w:rsidRPr="009A22FB">
        <w:rPr>
          <w:rFonts w:asciiTheme="majorBidi" w:hAnsiTheme="majorBidi" w:cstheme="majorBidi"/>
          <w:color w:val="222222"/>
          <w:shd w:val="clear" w:color="auto" w:fill="FFFFFF"/>
        </w:rPr>
        <w:t xml:space="preserve"> those of the authors only and do not necessarily reflect those of the European Union</w:t>
      </w:r>
      <w:r w:rsidR="000C3A23">
        <w:rPr>
          <w:rFonts w:asciiTheme="majorBidi" w:hAnsiTheme="majorBidi" w:cstheme="majorBidi"/>
          <w:color w:val="222222"/>
          <w:shd w:val="clear" w:color="auto" w:fill="FFFFFF"/>
        </w:rPr>
        <w:t>,</w:t>
      </w:r>
      <w:r w:rsidRPr="009A22FB">
        <w:rPr>
          <w:rFonts w:asciiTheme="majorBidi" w:hAnsiTheme="majorBidi" w:cstheme="majorBidi"/>
          <w:color w:val="222222"/>
          <w:shd w:val="clear" w:color="auto" w:fill="FFFFFF"/>
        </w:rPr>
        <w:t xml:space="preserve"> who cannot be held responsible for them.</w:t>
      </w:r>
    </w:p>
    <w:p w14:paraId="1644CDAE" w14:textId="74A2ED3C" w:rsidR="00630E2C" w:rsidRPr="004756F6" w:rsidRDefault="00630E2C">
      <w:pPr>
        <w:pStyle w:val="FootnoteText"/>
        <w:rPr>
          <w:lang w:val="en-US"/>
        </w:rPr>
      </w:pPr>
    </w:p>
  </w:footnote>
  <w:footnote w:id="2">
    <w:p w14:paraId="72DFBC42" w14:textId="59052AF2" w:rsidR="00630E2C" w:rsidRPr="006A1884" w:rsidRDefault="00630E2C" w:rsidP="00A26418">
      <w:pPr>
        <w:pStyle w:val="EndnoteText"/>
        <w:jc w:val="both"/>
        <w:rPr>
          <w:rFonts w:asciiTheme="majorBidi" w:hAnsiTheme="majorBidi" w:cstheme="majorBidi"/>
          <w:lang w:val="en-GB"/>
        </w:rPr>
      </w:pPr>
      <w:r>
        <w:rPr>
          <w:rStyle w:val="FootnoteReference"/>
        </w:rPr>
        <w:footnoteRef/>
      </w:r>
      <w:r>
        <w:t xml:space="preserve"> </w:t>
      </w:r>
      <w:r w:rsidRPr="006A1884">
        <w:rPr>
          <w:rFonts w:asciiTheme="majorBidi" w:hAnsiTheme="majorBidi" w:cstheme="majorBidi"/>
          <w:lang w:val="en-GB"/>
        </w:rPr>
        <w:t>The possibility of betrayal is also one of the main reasons why trust is distinguished from mere reliance, where one cannot be said to be betrayed, but rather disappointed (see Baier</w:t>
      </w:r>
      <w:r>
        <w:rPr>
          <w:rFonts w:asciiTheme="majorBidi" w:hAnsiTheme="majorBidi" w:cstheme="majorBidi"/>
          <w:lang w:val="en-GB"/>
        </w:rPr>
        <w:t>,</w:t>
      </w:r>
      <w:r w:rsidRPr="006A1884">
        <w:rPr>
          <w:rFonts w:asciiTheme="majorBidi" w:hAnsiTheme="majorBidi" w:cstheme="majorBidi"/>
          <w:lang w:val="en-GB"/>
        </w:rPr>
        <w:t xml:space="preserve"> 1986</w:t>
      </w:r>
      <w:r>
        <w:rPr>
          <w:rFonts w:asciiTheme="majorBidi" w:hAnsiTheme="majorBidi" w:cstheme="majorBidi"/>
          <w:lang w:val="en-GB"/>
        </w:rPr>
        <w:t>;</w:t>
      </w:r>
      <w:r w:rsidRPr="006A1884">
        <w:rPr>
          <w:rFonts w:asciiTheme="majorBidi" w:hAnsiTheme="majorBidi" w:cstheme="majorBidi"/>
          <w:lang w:val="en-GB"/>
        </w:rPr>
        <w:t xml:space="preserve"> 1991).</w:t>
      </w:r>
    </w:p>
    <w:p w14:paraId="0267F75F" w14:textId="62BC0EB6" w:rsidR="00630E2C" w:rsidRPr="004756F6" w:rsidRDefault="00630E2C">
      <w:pPr>
        <w:pStyle w:val="FootnoteText"/>
        <w:rPr>
          <w:lang w:val="en-US"/>
        </w:rPr>
      </w:pPr>
    </w:p>
  </w:footnote>
  <w:footnote w:id="3">
    <w:p w14:paraId="3DF5A5AC" w14:textId="77777777" w:rsidR="00630E2C" w:rsidRPr="006A1884" w:rsidRDefault="00630E2C" w:rsidP="00A26418">
      <w:pPr>
        <w:pStyle w:val="EndnoteText"/>
        <w:jc w:val="both"/>
        <w:rPr>
          <w:rFonts w:asciiTheme="majorBidi" w:hAnsiTheme="majorBidi" w:cstheme="majorBidi"/>
          <w:lang w:val="en-GB"/>
        </w:rPr>
      </w:pPr>
      <w:r>
        <w:rPr>
          <w:rStyle w:val="FootnoteReference"/>
        </w:rPr>
        <w:footnoteRef/>
      </w:r>
      <w:r>
        <w:t xml:space="preserve"> </w:t>
      </w:r>
      <w:r w:rsidRPr="006A1884">
        <w:rPr>
          <w:rFonts w:asciiTheme="majorBidi" w:hAnsiTheme="majorBidi" w:cstheme="majorBidi"/>
          <w:lang w:val="en-GB"/>
        </w:rPr>
        <w:t>However, sometimes what we rely on in trust is something other than goodwill, which has led to a number of objections to Baier’s goodwill-based account of trust, such as that goodwill is not necessary nor sufficient for trust (e.g., O’Neill (2002); Jones (2004)).</w:t>
      </w:r>
    </w:p>
    <w:p w14:paraId="2CE4C846" w14:textId="45E4ECD8" w:rsidR="00630E2C" w:rsidRPr="004756F6" w:rsidRDefault="00630E2C">
      <w:pPr>
        <w:pStyle w:val="FootnoteText"/>
        <w:rPr>
          <w:lang w:val="en-US"/>
        </w:rPr>
      </w:pPr>
    </w:p>
  </w:footnote>
  <w:footnote w:id="4">
    <w:p w14:paraId="6F76DDF3" w14:textId="5C815E27" w:rsidR="00630E2C" w:rsidRPr="006A1884" w:rsidRDefault="00630E2C" w:rsidP="00A26418">
      <w:pPr>
        <w:pStyle w:val="EndnoteText"/>
        <w:jc w:val="both"/>
        <w:rPr>
          <w:rFonts w:asciiTheme="majorBidi" w:hAnsiTheme="majorBidi" w:cstheme="majorBidi"/>
          <w:lang w:val="en-GB"/>
        </w:rPr>
      </w:pPr>
      <w:r>
        <w:rPr>
          <w:rStyle w:val="FootnoteReference"/>
        </w:rPr>
        <w:footnoteRef/>
      </w:r>
      <w:r>
        <w:t xml:space="preserve"> </w:t>
      </w:r>
      <w:r w:rsidRPr="006A1884">
        <w:rPr>
          <w:rFonts w:asciiTheme="majorBidi" w:hAnsiTheme="majorBidi" w:cstheme="majorBidi"/>
          <w:lang w:val="en-GB"/>
        </w:rPr>
        <w:t xml:space="preserve">On cognitive </w:t>
      </w:r>
      <w:r>
        <w:rPr>
          <w:rFonts w:asciiTheme="majorBidi" w:hAnsiTheme="majorBidi" w:cstheme="majorBidi"/>
          <w:lang w:val="en-GB"/>
        </w:rPr>
        <w:t>v</w:t>
      </w:r>
      <w:r w:rsidRPr="006A1884">
        <w:rPr>
          <w:rFonts w:asciiTheme="majorBidi" w:hAnsiTheme="majorBidi" w:cstheme="majorBidi"/>
          <w:lang w:val="en-GB"/>
        </w:rPr>
        <w:t>s</w:t>
      </w:r>
      <w:r>
        <w:rPr>
          <w:rFonts w:asciiTheme="majorBidi" w:hAnsiTheme="majorBidi" w:cstheme="majorBidi"/>
          <w:lang w:val="en-GB"/>
        </w:rPr>
        <w:t>.</w:t>
      </w:r>
      <w:r w:rsidRPr="006A1884">
        <w:rPr>
          <w:rFonts w:asciiTheme="majorBidi" w:hAnsiTheme="majorBidi" w:cstheme="majorBidi"/>
          <w:lang w:val="en-GB"/>
        </w:rPr>
        <w:t xml:space="preserve"> noncognitive trust, see Becker’s definition (1996</w:t>
      </w:r>
      <w:r>
        <w:rPr>
          <w:rFonts w:asciiTheme="majorBidi" w:hAnsiTheme="majorBidi" w:cstheme="majorBidi"/>
          <w:lang w:val="en-GB"/>
        </w:rPr>
        <w:t>, p. 44): “Let us call our trust ‘cognitive’</w:t>
      </w:r>
      <w:r w:rsidRPr="006A1884">
        <w:rPr>
          <w:rFonts w:asciiTheme="majorBidi" w:hAnsiTheme="majorBidi" w:cstheme="majorBidi"/>
          <w:lang w:val="en-GB"/>
        </w:rPr>
        <w:t xml:space="preserve"> if it is fundamentally a matter of our beliefs or expectations about others' trustworthiness; it is noncognitive if it is fundamentally a matter of our having trustful attitudes, affects, emotions, or motivational structures that are not focused on specific p</w:t>
      </w:r>
      <w:r>
        <w:rPr>
          <w:rFonts w:asciiTheme="majorBidi" w:hAnsiTheme="majorBidi" w:cstheme="majorBidi"/>
          <w:lang w:val="en-GB"/>
        </w:rPr>
        <w:t>eople, institutions, or groups.”</w:t>
      </w:r>
    </w:p>
    <w:p w14:paraId="49D9EE9A" w14:textId="41F54823" w:rsidR="00630E2C" w:rsidRPr="004756F6" w:rsidRDefault="00630E2C">
      <w:pPr>
        <w:pStyle w:val="FootnoteText"/>
        <w:rPr>
          <w:lang w:val="en-US"/>
        </w:rPr>
      </w:pPr>
    </w:p>
  </w:footnote>
  <w:footnote w:id="5">
    <w:p w14:paraId="4EFA6CAE" w14:textId="4AE9DFEB" w:rsidR="00630E2C" w:rsidRPr="006A1884" w:rsidRDefault="00630E2C" w:rsidP="00A26418">
      <w:pPr>
        <w:pStyle w:val="EndnoteText"/>
        <w:jc w:val="both"/>
        <w:rPr>
          <w:rFonts w:asciiTheme="majorBidi" w:hAnsiTheme="majorBidi" w:cstheme="majorBidi"/>
          <w:lang w:val="en-GB"/>
        </w:rPr>
      </w:pPr>
      <w:r>
        <w:rPr>
          <w:rStyle w:val="FootnoteReference"/>
        </w:rPr>
        <w:footnoteRef/>
      </w:r>
      <w:r>
        <w:t xml:space="preserve"> </w:t>
      </w:r>
      <w:r w:rsidRPr="006A1884">
        <w:rPr>
          <w:rFonts w:asciiTheme="majorBidi" w:hAnsiTheme="majorBidi" w:cstheme="majorBidi"/>
          <w:lang w:val="en-GB"/>
        </w:rPr>
        <w:t xml:space="preserve">Nguyen’s account is part of an original </w:t>
      </w:r>
      <w:r w:rsidR="008244D7" w:rsidRPr="006A1884">
        <w:rPr>
          <w:rFonts w:asciiTheme="majorBidi" w:hAnsiTheme="majorBidi" w:cstheme="majorBidi"/>
          <w:lang w:val="en-GB"/>
        </w:rPr>
        <w:t>defence</w:t>
      </w:r>
      <w:r w:rsidRPr="006A1884">
        <w:rPr>
          <w:rFonts w:asciiTheme="majorBidi" w:hAnsiTheme="majorBidi" w:cstheme="majorBidi"/>
          <w:lang w:val="en-GB"/>
        </w:rPr>
        <w:t xml:space="preserve"> of trust that extends it to objects, including technology, removing the traditional requirement that the trustee be an agent.</w:t>
      </w:r>
    </w:p>
    <w:p w14:paraId="4B234B0B" w14:textId="16C1FC0A" w:rsidR="00630E2C" w:rsidRPr="004756F6" w:rsidRDefault="00630E2C">
      <w:pPr>
        <w:pStyle w:val="FootnoteText"/>
        <w:rPr>
          <w:lang w:val="en-US"/>
        </w:rPr>
      </w:pPr>
    </w:p>
  </w:footnote>
  <w:footnote w:id="6">
    <w:p w14:paraId="06C39539" w14:textId="1DDEAF1A" w:rsidR="00630E2C" w:rsidRPr="004756F6" w:rsidRDefault="00630E2C">
      <w:pPr>
        <w:pStyle w:val="FootnoteText"/>
        <w:rPr>
          <w:lang w:val="en-US"/>
        </w:rPr>
      </w:pPr>
      <w:r>
        <w:rPr>
          <w:rStyle w:val="FootnoteReference"/>
        </w:rPr>
        <w:footnoteRef/>
      </w:r>
      <w:r>
        <w:t xml:space="preserve"> </w:t>
      </w:r>
      <w:r w:rsidRPr="006A1884">
        <w:rPr>
          <w:rFonts w:asciiTheme="majorBidi" w:hAnsiTheme="majorBidi" w:cstheme="majorBidi"/>
          <w:lang w:val="en-GB"/>
        </w:rPr>
        <w:t xml:space="preserve">On two-place Vs three-place trust, see </w:t>
      </w:r>
      <w:r w:rsidRPr="006A1884">
        <w:rPr>
          <w:rFonts w:asciiTheme="majorBidi" w:hAnsiTheme="majorBidi" w:cstheme="majorBidi"/>
        </w:rPr>
        <w:fldChar w:fldCharType="begin"/>
      </w:r>
      <w:r w:rsidRPr="006A1884">
        <w:rPr>
          <w:rFonts w:asciiTheme="majorBidi" w:hAnsiTheme="majorBidi" w:cstheme="majorBidi"/>
          <w:lang w:val="en-GB"/>
        </w:rPr>
        <w:instrText xml:space="preserve"> ADDIN ZOTERO_ITEM CSL_CITATION {"citationID":"3TBWasdo","properties":{"formattedCitation":"(Horsburgh, 1960)","plainCitation":"(Horsburgh, 1960)","dontUpdate":true,"noteIndex":6},"citationItems":[{"id":302,"uris":["http://zotero.org/users/local/5grjdT5j/items/Y3T254DP"],"uri":["http://zotero.org/users/local/5grjdT5j/items/Y3T254DP"],"itemData":{"id":302,"type":"article-journal","container-title":"Philosophical Quarterly","DOI":"10.2307/2216409","issue":"41","note":"publisher: Wiley-Blackwell","page":"343–354","source":"PhilPapers","title":"The Ethics of Trust","volume":"10","author":[{"family":"Horsburgh","given":"H. J. N."}],"issued":{"date-parts":[["1960"]]}}}],"schema":"https://github.com/citation-style-language/schema/raw/master/csl-citation.json"}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noProof/>
          <w:lang w:val="en-GB"/>
        </w:rPr>
        <w:t>Horsburgh (1960)</w:t>
      </w:r>
      <w:r w:rsidRPr="006A1884">
        <w:rPr>
          <w:rFonts w:asciiTheme="majorBidi" w:hAnsiTheme="majorBidi" w:cstheme="majorBidi"/>
        </w:rPr>
        <w:fldChar w:fldCharType="end"/>
      </w:r>
      <w:r>
        <w:rPr>
          <w:rFonts w:asciiTheme="majorBidi" w:hAnsiTheme="majorBidi" w:cstheme="majorBidi"/>
        </w:rPr>
        <w:t>.</w:t>
      </w:r>
    </w:p>
  </w:footnote>
  <w:footnote w:id="7">
    <w:p w14:paraId="0CB58981" w14:textId="77777777" w:rsidR="00630E2C" w:rsidRPr="006A1884" w:rsidRDefault="00630E2C" w:rsidP="00A26418">
      <w:pPr>
        <w:pStyle w:val="EndnoteText"/>
        <w:rPr>
          <w:rFonts w:asciiTheme="majorBidi" w:hAnsiTheme="majorBidi" w:cstheme="majorBidi"/>
          <w:lang w:val="en-GB"/>
        </w:rPr>
      </w:pPr>
      <w:r>
        <w:rPr>
          <w:rStyle w:val="FootnoteReference"/>
        </w:rPr>
        <w:footnoteRef/>
      </w:r>
      <w:r>
        <w:t xml:space="preserve"> </w:t>
      </w:r>
      <w:hyperlink r:id="rId1" w:history="1">
        <w:r w:rsidRPr="006A1884">
          <w:rPr>
            <w:rStyle w:val="Hyperlink"/>
            <w:rFonts w:asciiTheme="majorBidi" w:hAnsiTheme="majorBidi" w:cstheme="majorBidi"/>
            <w:lang w:val="en-GB"/>
          </w:rPr>
          <w:t>https://rebellion.global/about-us/</w:t>
        </w:r>
      </w:hyperlink>
    </w:p>
    <w:p w14:paraId="598AF3CE" w14:textId="2B56594D" w:rsidR="00630E2C" w:rsidRPr="004756F6" w:rsidRDefault="00630E2C">
      <w:pPr>
        <w:pStyle w:val="FootnoteText"/>
        <w:rPr>
          <w:lang w:val="en-US"/>
        </w:rPr>
      </w:pPr>
    </w:p>
  </w:footnote>
  <w:footnote w:id="8">
    <w:p w14:paraId="624CCEBC" w14:textId="71BE9822" w:rsidR="00630E2C" w:rsidRPr="006A1884" w:rsidRDefault="00630E2C" w:rsidP="00A26418">
      <w:pPr>
        <w:pStyle w:val="EndnoteText"/>
        <w:rPr>
          <w:rFonts w:asciiTheme="majorBidi" w:hAnsiTheme="majorBidi" w:cstheme="majorBidi"/>
        </w:rPr>
      </w:pPr>
      <w:r>
        <w:rPr>
          <w:rStyle w:val="FootnoteReference"/>
        </w:rPr>
        <w:footnoteRef/>
      </w:r>
      <w:r>
        <w:t xml:space="preserve"> </w:t>
      </w:r>
      <w:proofErr w:type="spellStart"/>
      <w:r w:rsidRPr="006A1884">
        <w:rPr>
          <w:rFonts w:asciiTheme="majorBidi" w:hAnsiTheme="majorBidi" w:cstheme="majorBidi"/>
          <w:lang w:val="en-CA"/>
        </w:rPr>
        <w:t>Domenicucci</w:t>
      </w:r>
      <w:proofErr w:type="spellEnd"/>
      <w:r w:rsidRPr="006A1884">
        <w:rPr>
          <w:rFonts w:asciiTheme="majorBidi" w:hAnsiTheme="majorBidi" w:cstheme="majorBidi"/>
          <w:lang w:val="en-CA"/>
        </w:rPr>
        <w:t xml:space="preserve"> </w:t>
      </w:r>
      <w:r w:rsidRPr="006A1884">
        <w:rPr>
          <w:rFonts w:asciiTheme="majorBidi" w:hAnsiTheme="majorBidi" w:cstheme="majorBidi"/>
        </w:rPr>
        <w:t xml:space="preserve">and Holton (2017, </w:t>
      </w:r>
      <w:r w:rsidR="008244D7">
        <w:rPr>
          <w:rFonts w:asciiTheme="majorBidi" w:hAnsiTheme="majorBidi" w:cstheme="majorBidi"/>
        </w:rPr>
        <w:t xml:space="preserve">p. </w:t>
      </w:r>
      <w:r w:rsidRPr="006A1884">
        <w:rPr>
          <w:rFonts w:asciiTheme="majorBidi" w:hAnsiTheme="majorBidi" w:cstheme="majorBidi"/>
        </w:rPr>
        <w:t>151)</w:t>
      </w:r>
    </w:p>
    <w:p w14:paraId="5E192032" w14:textId="49A398F1" w:rsidR="00630E2C" w:rsidRPr="004756F6" w:rsidRDefault="00630E2C">
      <w:pPr>
        <w:pStyle w:val="FootnoteText"/>
        <w:rPr>
          <w:lang w:val="en-US"/>
        </w:rPr>
      </w:pPr>
    </w:p>
  </w:footnote>
  <w:footnote w:id="9">
    <w:p w14:paraId="0F9AB029" w14:textId="5D4160FC" w:rsidR="00630E2C" w:rsidRPr="006A1884" w:rsidRDefault="00630E2C" w:rsidP="00A26418">
      <w:pPr>
        <w:pStyle w:val="EndnoteText"/>
        <w:rPr>
          <w:rFonts w:asciiTheme="majorBidi" w:hAnsiTheme="majorBidi" w:cstheme="majorBidi"/>
          <w:lang w:val="en-GB"/>
        </w:rPr>
      </w:pPr>
      <w:r>
        <w:rPr>
          <w:rStyle w:val="FootnoteReference"/>
        </w:rPr>
        <w:footnoteRef/>
      </w:r>
      <w:r>
        <w:t xml:space="preserve"> </w:t>
      </w:r>
      <w:r w:rsidRPr="006A1884">
        <w:rPr>
          <w:rFonts w:asciiTheme="majorBidi" w:hAnsiTheme="majorBidi" w:cstheme="majorBidi"/>
          <w:lang w:val="en-GB"/>
        </w:rPr>
        <w:t>See also the discussion on trust in States and individuals representing States and other groups</w:t>
      </w:r>
      <w:r w:rsidRPr="006A1884">
        <w:rPr>
          <w:rFonts w:asciiTheme="majorBidi" w:hAnsiTheme="majorBidi" w:cstheme="majorBidi"/>
          <w:color w:val="000000"/>
          <w:lang w:val="en-GB"/>
        </w:rPr>
        <w:t xml:space="preserve"> (e.g. Booth and Wheeler</w:t>
      </w:r>
      <w:r w:rsidR="008244D7">
        <w:rPr>
          <w:rFonts w:asciiTheme="majorBidi" w:hAnsiTheme="majorBidi" w:cstheme="majorBidi"/>
          <w:color w:val="000000"/>
          <w:lang w:val="en-GB"/>
        </w:rPr>
        <w:t xml:space="preserve">, </w:t>
      </w:r>
      <w:r w:rsidRPr="006A1884">
        <w:rPr>
          <w:rFonts w:asciiTheme="majorBidi" w:hAnsiTheme="majorBidi" w:cstheme="majorBidi"/>
          <w:color w:val="000000"/>
          <w:lang w:val="en-GB"/>
        </w:rPr>
        <w:t xml:space="preserve">2008) and </w:t>
      </w:r>
      <w:r w:rsidR="008244D7">
        <w:rPr>
          <w:rFonts w:asciiTheme="majorBidi" w:hAnsiTheme="majorBidi" w:cstheme="majorBidi"/>
          <w:color w:val="000000"/>
          <w:lang w:val="en-GB"/>
        </w:rPr>
        <w:t>“</w:t>
      </w:r>
      <w:r w:rsidRPr="006A1884">
        <w:rPr>
          <w:rFonts w:asciiTheme="majorBidi" w:hAnsiTheme="majorBidi" w:cstheme="majorBidi"/>
          <w:color w:val="000000"/>
          <w:lang w:val="en-GB"/>
        </w:rPr>
        <w:t>organizational trust</w:t>
      </w:r>
      <w:r w:rsidR="008244D7">
        <w:rPr>
          <w:rFonts w:asciiTheme="majorBidi" w:hAnsiTheme="majorBidi" w:cstheme="majorBidi"/>
          <w:color w:val="000000"/>
          <w:lang w:val="en-GB"/>
        </w:rPr>
        <w:t>”</w:t>
      </w:r>
      <w:r w:rsidRPr="006A1884">
        <w:rPr>
          <w:rFonts w:asciiTheme="majorBidi" w:hAnsiTheme="majorBidi" w:cstheme="majorBidi"/>
          <w:color w:val="000000"/>
          <w:lang w:val="en-GB"/>
        </w:rPr>
        <w:t xml:space="preserve"> (e.g.</w:t>
      </w:r>
      <w:r w:rsidR="008244D7">
        <w:rPr>
          <w:rFonts w:asciiTheme="majorBidi" w:hAnsiTheme="majorBidi" w:cstheme="majorBidi"/>
          <w:color w:val="000000"/>
          <w:lang w:val="en-GB"/>
        </w:rPr>
        <w:t>,</w:t>
      </w:r>
      <w:r w:rsidRPr="006A1884">
        <w:rPr>
          <w:rFonts w:asciiTheme="majorBidi" w:hAnsiTheme="majorBidi" w:cstheme="majorBidi"/>
          <w:color w:val="000000"/>
          <w:lang w:val="en-GB"/>
        </w:rPr>
        <w:t xml:space="preserve"> Saunders</w:t>
      </w:r>
      <w:r w:rsidR="008244D7">
        <w:rPr>
          <w:rFonts w:asciiTheme="majorBidi" w:hAnsiTheme="majorBidi" w:cstheme="majorBidi"/>
          <w:color w:val="000000"/>
          <w:lang w:val="en-GB"/>
        </w:rPr>
        <w:t>,</w:t>
      </w:r>
      <w:r w:rsidRPr="006A1884">
        <w:rPr>
          <w:rFonts w:asciiTheme="majorBidi" w:hAnsiTheme="majorBidi" w:cstheme="majorBidi"/>
          <w:color w:val="000000"/>
          <w:lang w:val="en-GB"/>
        </w:rPr>
        <w:t xml:space="preserve"> 2010).</w:t>
      </w:r>
    </w:p>
    <w:p w14:paraId="1243C43A" w14:textId="3C62851B" w:rsidR="00630E2C" w:rsidRPr="004756F6" w:rsidRDefault="00630E2C">
      <w:pPr>
        <w:pStyle w:val="FootnoteText"/>
        <w:rPr>
          <w:lang w:val="en-US"/>
        </w:rPr>
      </w:pPr>
    </w:p>
  </w:footnote>
  <w:footnote w:id="10">
    <w:p w14:paraId="14BA19B5" w14:textId="0FC112F5" w:rsidR="00630E2C" w:rsidRPr="006A1884" w:rsidRDefault="00630E2C" w:rsidP="00A26418">
      <w:pPr>
        <w:pStyle w:val="EndnoteText"/>
        <w:rPr>
          <w:rFonts w:asciiTheme="majorBidi" w:hAnsiTheme="majorBidi" w:cstheme="majorBidi"/>
        </w:rPr>
      </w:pPr>
      <w:r>
        <w:rPr>
          <w:rStyle w:val="FootnoteReference"/>
        </w:rPr>
        <w:footnoteRef/>
      </w:r>
      <w:r>
        <w:t xml:space="preserve"> </w:t>
      </w:r>
      <w:r w:rsidRPr="006A1884">
        <w:rPr>
          <w:rFonts w:asciiTheme="majorBidi" w:hAnsiTheme="majorBidi" w:cstheme="majorBidi"/>
          <w:lang w:val="en-GB"/>
        </w:rPr>
        <w:t>On the four pillars of medical ethics</w:t>
      </w:r>
      <w:r w:rsidR="008244D7">
        <w:rPr>
          <w:rFonts w:asciiTheme="majorBidi" w:hAnsiTheme="majorBidi" w:cstheme="majorBidi"/>
          <w:lang w:val="en-GB"/>
        </w:rPr>
        <w:t>,</w:t>
      </w:r>
      <w:r w:rsidRPr="006A1884">
        <w:rPr>
          <w:rFonts w:asciiTheme="majorBidi" w:hAnsiTheme="majorBidi" w:cstheme="majorBidi"/>
          <w:lang w:val="en-GB"/>
        </w:rPr>
        <w:t xml:space="preserve"> see </w:t>
      </w:r>
      <w:r w:rsidRPr="006A1884">
        <w:rPr>
          <w:rFonts w:asciiTheme="majorBidi" w:hAnsiTheme="majorBidi" w:cstheme="majorBidi"/>
        </w:rPr>
        <w:fldChar w:fldCharType="begin"/>
      </w:r>
      <w:r w:rsidRPr="006A1884">
        <w:rPr>
          <w:rFonts w:asciiTheme="majorBidi" w:hAnsiTheme="majorBidi" w:cstheme="majorBidi"/>
          <w:lang w:val="en-GB"/>
        </w:rPr>
        <w:instrText xml:space="preserve"> ADDIN ZOTERO_ITEM CSL_CITATION {"citationID":"aR7lOVOU","properties":{"formattedCitation":"(Beauchamp and Childress, 2012)","plainCitation":"(Beauchamp and Childress, 2012)","dontUpdate":true,"noteIndex":10},"citationItems":[{"id":345,"uris":["http://zotero.org/users/local/5grjdT5j/items/B5FAQTEG"],"uri":["http://zotero.org/users/local/5grjdT5j/items/B5FAQTEG"],"itemData":{"id":345,"type":"book","abstract":"Building on the best-selling tradition of previous editions, Principles of Biomedical Ethics, Seventh Edition, provides a highly original, practical, and insightful guide to morality in the health professions. Acclaimed authors Tom L. Beauchamp and James F. Childress thoroughly develop and advocate for four principles that lie at the core of moral reasoning in health care: respect for autonomy, nonmaleficence, beneficence, and justice. Drawing from contemporary research--and integrating detailed case studies and vivid real-life examples and scenarios--they demonstrate how these prima facie principles can be expanded to apply to various conflicts and dilemmas, from how to deliver bad news to whether or not to withhold or withdraw life-sustaining treatments.Illuminating both theory and method throughout, Principles of Biomedical Ethics, Seventh Edition, considers what constitutes moral character and addresses the problem of moral status: what rights are due to people and animals, and when. It also examines the professional-patient relationship, surveys major philosophical theories--including utilitarianism, Kantianism, rights theory, and virtue theory--and describes methods of moral justification in bioethics. Ideal for courses in biomedical ethics, bioethics, and health care ethics, the text is enhanced by hundreds of annotated citations and a substantial introduction that clarifies key terms and concepts.NEW TO THE SEVENTH EDITIONCh. 1: A clarified and more concise treatment of the common morality and its distinction from both particular moralities and the broad descriptive use of the term \"morality\"Ch. 3: New sections on degrees of moral status and the moral significance of moral statusCh. 4: A revised section on the therapeutic use of placebos and expanded coverage of theories of autonomy and information-processing issuesCh. 5: New material on historical problems of underprotection and recent problems of overprotection in human subjects researchCh. 6: A new section on expanded access and continued access in research and a relocated and integrated discussion of surrogate decision making for incompetent patientsCh. 7: A distinction between traditional theories of justice and more recent theories like capabilities and well-beingCh. 8: A new section on clinical ethics and research ethicsCh. 9: A whole new section on virtue theory, which expands the account from Ch. 2 of the previous edition, and on rights theoryCh. 10: An extended and more in-depth discussion of the authors' theory of method and ju</w:instrText>
      </w:r>
      <w:r w:rsidRPr="006A1884">
        <w:rPr>
          <w:rFonts w:asciiTheme="majorBidi" w:hAnsiTheme="majorBidi" w:cstheme="majorBidi"/>
        </w:rPr>
        <w:instrText xml:space="preserve">stification in bioethicsA new Companion Website at www.oup.com/us/beauchamp featuring suggestions for effectively using the book in the classroom, possible syllabi and examination questions, additional readings, useful exercises, and cases for discussion","edition":"7th edition","event-place":"New York","ISBN":"978-0-19-992458-5","language":"English","number-of-pages":"480","publisher":"Oxford University Press","publisher-place":"New York","source":"Amazon","title":"Principles of Biomedical Ethics","author":[{"family":"Beauchamp","given":"Tom L."},{"family":"Childress","given":"James F."}],"issued":{"date-parts":[["2012",10,22]]}}}],"schema":"https://github.com/citation-style-language/schema/raw/master/csl-citation.json"}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noProof/>
        </w:rPr>
        <w:t>Beauchamp and Childress (2012)</w:t>
      </w:r>
      <w:r w:rsidRPr="006A1884">
        <w:rPr>
          <w:rFonts w:asciiTheme="majorBidi" w:hAnsiTheme="majorBidi" w:cstheme="majorBidi"/>
        </w:rPr>
        <w:fldChar w:fldCharType="end"/>
      </w:r>
      <w:r w:rsidRPr="006A1884">
        <w:rPr>
          <w:rFonts w:asciiTheme="majorBidi" w:hAnsiTheme="majorBidi" w:cstheme="majorBidi"/>
        </w:rPr>
        <w:t>.</w:t>
      </w:r>
    </w:p>
    <w:p w14:paraId="7ADB3F24" w14:textId="001B4787" w:rsidR="00630E2C" w:rsidRPr="004756F6" w:rsidRDefault="00630E2C">
      <w:pPr>
        <w:pStyle w:val="FootnoteText"/>
        <w:rPr>
          <w:lang w:val="en-US"/>
        </w:rPr>
      </w:pPr>
    </w:p>
  </w:footnote>
  <w:footnote w:id="11">
    <w:p w14:paraId="45590632" w14:textId="59D8B236" w:rsidR="00630E2C" w:rsidRPr="006A1884" w:rsidRDefault="00630E2C" w:rsidP="00A26418">
      <w:pPr>
        <w:pStyle w:val="EndnoteText"/>
        <w:rPr>
          <w:rFonts w:asciiTheme="majorBidi" w:hAnsiTheme="majorBidi" w:cstheme="majorBidi"/>
        </w:rPr>
      </w:pPr>
      <w:r>
        <w:rPr>
          <w:rStyle w:val="FootnoteReference"/>
        </w:rPr>
        <w:footnoteRef/>
      </w:r>
      <w:r>
        <w:t xml:space="preserve"> </w:t>
      </w:r>
      <w:r w:rsidRPr="006A1884">
        <w:rPr>
          <w:rFonts w:asciiTheme="majorBidi" w:hAnsiTheme="majorBidi" w:cstheme="majorBidi"/>
        </w:rPr>
        <w:t>The danger of over-reliance on experts was known to John Dewey who worried, already in the early 20</w:t>
      </w:r>
      <w:r w:rsidRPr="006A1884">
        <w:rPr>
          <w:rFonts w:asciiTheme="majorBidi" w:hAnsiTheme="majorBidi" w:cstheme="majorBidi"/>
          <w:vertAlign w:val="superscript"/>
        </w:rPr>
        <w:t>th</w:t>
      </w:r>
      <w:r w:rsidRPr="006A1884">
        <w:rPr>
          <w:rFonts w:asciiTheme="majorBidi" w:hAnsiTheme="majorBidi" w:cstheme="majorBidi"/>
        </w:rPr>
        <w:t xml:space="preserve"> century, that the ever-increasing reliance on expert advice can diminish the scope of participation by ordinary citizens in the political process (</w:t>
      </w:r>
      <w:r w:rsidRPr="006A1884">
        <w:rPr>
          <w:rFonts w:asciiTheme="majorBidi" w:hAnsiTheme="majorBidi" w:cstheme="majorBidi"/>
        </w:rPr>
        <w:fldChar w:fldCharType="begin"/>
      </w:r>
      <w:r w:rsidRPr="006A1884">
        <w:rPr>
          <w:rFonts w:asciiTheme="majorBidi" w:hAnsiTheme="majorBidi" w:cstheme="majorBidi"/>
        </w:rPr>
        <w:instrText xml:space="preserve"> ADDIN ZOTERO_ITEM CSL_CITATION {"citationID":"p9W1DpFK","properties":{"formattedCitation":"(Dewey 1927)","plainCitation":"(Dewey 1927)","dontUpdate":true,"noteIndex":0},"citationItems":[{"id":630,"uris":["http://zotero.org/users/local/5grjdT5j/items/YMYAU7WY"],"uri":["http://zotero.org/users/local/5grjdT5j/items/YMYAU7WY"],"itemData":{"id":630,"type":"book","publisher":"Swallow Press","source":"PhilPapers","title":"The Public and its Problems","author":[{"family":"Dewey","given":"John"}],"issued":{"date-parts":[["1927"]]}}}],"schema":"https://github.com/citation-style-language/schema/raw/master/csl-citation.json"}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rPr>
        <w:t>Dewey</w:t>
      </w:r>
      <w:r w:rsidR="00DF2496">
        <w:rPr>
          <w:rFonts w:asciiTheme="majorBidi" w:hAnsiTheme="majorBidi" w:cstheme="majorBidi"/>
        </w:rPr>
        <w:t xml:space="preserve">, </w:t>
      </w:r>
      <w:r w:rsidRPr="006A1884">
        <w:rPr>
          <w:rFonts w:asciiTheme="majorBidi" w:hAnsiTheme="majorBidi" w:cstheme="majorBidi"/>
        </w:rPr>
        <w:t>1927)</w:t>
      </w:r>
      <w:r w:rsidRPr="006A1884">
        <w:rPr>
          <w:rFonts w:asciiTheme="majorBidi" w:hAnsiTheme="majorBidi" w:cstheme="majorBidi"/>
        </w:rPr>
        <w:fldChar w:fldCharType="end"/>
      </w:r>
      <w:r w:rsidRPr="006A1884">
        <w:rPr>
          <w:rFonts w:asciiTheme="majorBidi" w:hAnsiTheme="majorBidi" w:cstheme="majorBidi"/>
        </w:rPr>
        <w:t xml:space="preserve">. A worry that was echoed, in even stronger terms, by Hannah </w:t>
      </w:r>
      <w:r w:rsidRPr="006A1884">
        <w:rPr>
          <w:rFonts w:asciiTheme="majorBidi" w:hAnsiTheme="majorBidi" w:cstheme="majorBidi"/>
        </w:rPr>
        <w:fldChar w:fldCharType="begin"/>
      </w:r>
      <w:r w:rsidRPr="006A1884">
        <w:rPr>
          <w:rFonts w:asciiTheme="majorBidi" w:hAnsiTheme="majorBidi" w:cstheme="majorBidi"/>
        </w:rPr>
        <w:instrText xml:space="preserve"> ADDIN ZOTERO_ITEM CSL_CITATION {"citationID":"i4nOc9E2","properties":{"formattedCitation":"(Arendt 1967)","plainCitation":"(Arendt 1967)","dontUpdate":true,"noteIndex":0},"citationItems":[{"id":637,"uris":["http://zotero.org/users/local/5grjdT5j/items/YQ38YJ4F"],"uri":["http://zotero.org/users/local/5grjdT5j/items/YQ38YJ4F"],"itemData":{"id":637,"type":"webpage","abstract":"An essay on the antithesis of truth and politics. While probably no former time tolerated so many diverse opinions on religious and philosophical matters …","container-title":"The New Yorker","language":"en-US","title":"Truth and Politics","URL":"https://www.newyorker.com/magazine/1967/02/25/truth-and-politics","author":[{"family":"Arendt","given":"Hannah"}],"accessed":{"date-parts":[["2021",6,8]]},"issued":{"date-parts":[["1967"]]}}}],"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rPr>
        <w:t>Arendt (1972)</w:t>
      </w:r>
      <w:r w:rsidRPr="006A1884">
        <w:rPr>
          <w:rFonts w:asciiTheme="majorBidi" w:hAnsiTheme="majorBidi" w:cstheme="majorBidi"/>
        </w:rPr>
        <w:fldChar w:fldCharType="end"/>
      </w:r>
      <w:r w:rsidRPr="006A1884">
        <w:rPr>
          <w:rFonts w:asciiTheme="majorBidi" w:hAnsiTheme="majorBidi" w:cstheme="majorBidi"/>
        </w:rPr>
        <w:t xml:space="preserve"> and other members of the Frankfurt School </w:t>
      </w:r>
      <w:r w:rsidRPr="006A1884">
        <w:rPr>
          <w:rFonts w:asciiTheme="majorBidi" w:hAnsiTheme="majorBidi" w:cstheme="majorBidi"/>
        </w:rPr>
        <w:fldChar w:fldCharType="begin"/>
      </w:r>
      <w:r w:rsidRPr="006A1884">
        <w:rPr>
          <w:rFonts w:asciiTheme="majorBidi" w:hAnsiTheme="majorBidi" w:cstheme="majorBidi"/>
        </w:rPr>
        <w:instrText xml:space="preserve"> ADDIN ZOTERO_ITEM CSL_CITATION {"citationID":"61l40fsa","properties":{"formattedCitation":"(Habermas 1985)","plainCitation":"(Habermas 1985)","noteIndex":0},"citationItems":[{"id":639,"uris":["http://zotero.org/users/local/5grjdT5j/items/K6KGB4YD"],"uri":["http://zotero.org/users/local/5grjdT5j/items/K6KGB4YD"],"itemData":{"id":639,"type":"book","abstract":"A major contribution to contemporary social theory. Not only does it provide a compelling critique of some of the main perspectives in 20th century philosophy and social science, but it also presents a systematic synthesis of the many themse which have preoccupied Habermas for thirty years. --Times Literary Supplement","source":"Amazon","title":"The Theory of Communicative Action, Volume 1: Reason and the Rationalization of Society","title-short":"The Theory of Communicative Action, Volume 2","author":[{"family":"Habermas","given":"Jürgen"}],"translator":[{"family":"McCarthy","given":"Thomas"}],"issued":{"date-parts":[["1985"]]}}}],"schema":"https://github.com/citation-style-language/schema/raw/master/csl-citation.json"}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rPr>
        <w:t>(Habermas</w:t>
      </w:r>
      <w:r w:rsidR="00DF2496">
        <w:rPr>
          <w:rFonts w:asciiTheme="majorBidi" w:hAnsiTheme="majorBidi" w:cstheme="majorBidi"/>
        </w:rPr>
        <w:t>,</w:t>
      </w:r>
      <w:r w:rsidRPr="006A1884">
        <w:rPr>
          <w:rFonts w:asciiTheme="majorBidi" w:hAnsiTheme="majorBidi" w:cstheme="majorBidi"/>
        </w:rPr>
        <w:t xml:space="preserve"> 1985)</w:t>
      </w:r>
      <w:r w:rsidRPr="006A1884">
        <w:rPr>
          <w:rFonts w:asciiTheme="majorBidi" w:hAnsiTheme="majorBidi" w:cstheme="majorBidi"/>
        </w:rPr>
        <w:fldChar w:fldCharType="end"/>
      </w:r>
      <w:r w:rsidRPr="006A1884">
        <w:rPr>
          <w:rFonts w:asciiTheme="majorBidi" w:hAnsiTheme="majorBidi" w:cstheme="majorBidi"/>
        </w:rPr>
        <w:t xml:space="preserve"> as well as Michel </w:t>
      </w:r>
      <w:r w:rsidRPr="006A1884">
        <w:rPr>
          <w:rFonts w:asciiTheme="majorBidi" w:hAnsiTheme="majorBidi" w:cstheme="majorBidi"/>
        </w:rPr>
        <w:fldChar w:fldCharType="begin"/>
      </w:r>
      <w:r w:rsidRPr="006A1884">
        <w:rPr>
          <w:rFonts w:asciiTheme="majorBidi" w:hAnsiTheme="majorBidi" w:cstheme="majorBidi"/>
        </w:rPr>
        <w:instrText xml:space="preserve"> ADDIN ZOTERO_ITEM CSL_CITATION {"citationID":"ZX20l9DN","properties":{"formattedCitation":"(Foucault 2003)","plainCitation":"(Foucault 2003)","dontUpdate":true,"noteIndex":0},"citationItems":[{"id":642,"uris":["http://zotero.org/users/local/5grjdT5j/items/9PR5R67T"],"uri":["http://zotero.org/users/local/5grjdT5j/items/9PR5R67T"],"itemData":{"id":642,"type":"book","abstract":"An examination of the relation between war and politics, by one of the twentieth century's most influential thinkersFrom 1971 until 1984 at the Collège de France, Michel Foucault gave a series of lectures ranging freely and conversationally over the range of his research. In Society Must Be Defended, Foucault deals with the emergence in the early seventeenth century of a new understanding of war as the permanent basis of all institutions of power, a hidden presence within society that could be deciphered by an historical analysis. Tracing this development, Foucault outlines the genealogy of power and knowledge that had become his dominant concern.","source":"Amazon","title":"Society Must Be Defended","author":[{"family":"Foucault","given":"Michel"}],"issued":{"date-parts":[["2003",12,1]]}}}],"schema":"https://github.com/citation-style-language/schema/raw/master/csl-citation.json"}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rPr>
        <w:t>Foucault (2003)</w:t>
      </w:r>
      <w:r w:rsidRPr="006A1884">
        <w:rPr>
          <w:rFonts w:asciiTheme="majorBidi" w:hAnsiTheme="majorBidi" w:cstheme="majorBidi"/>
        </w:rPr>
        <w:fldChar w:fldCharType="end"/>
      </w:r>
      <w:r w:rsidRPr="006A1884">
        <w:rPr>
          <w:rFonts w:asciiTheme="majorBidi" w:hAnsiTheme="majorBidi" w:cstheme="majorBidi"/>
        </w:rPr>
        <w:t xml:space="preserve"> who, in their various ways, saw over-reliance on experts as a side-effect of the type of “scientism” that holds Western societies in its grip, and constitutes an inherently ideological stance masquerading under the banner of objectivity. </w:t>
      </w:r>
      <w:r>
        <w:rPr>
          <w:rFonts w:asciiTheme="majorBidi" w:hAnsiTheme="majorBidi" w:cstheme="majorBidi"/>
        </w:rPr>
        <w:t>See also Turner (2001).</w:t>
      </w:r>
    </w:p>
    <w:p w14:paraId="54FE7A9D" w14:textId="01E0B1E4" w:rsidR="00630E2C" w:rsidRPr="004756F6" w:rsidRDefault="00630E2C">
      <w:pPr>
        <w:pStyle w:val="FootnoteText"/>
        <w:rPr>
          <w:lang w:val="en-US"/>
        </w:rPr>
      </w:pPr>
    </w:p>
  </w:footnote>
  <w:footnote w:id="12">
    <w:p w14:paraId="198B48A9" w14:textId="77777777" w:rsidR="00630E2C" w:rsidRPr="006A1884" w:rsidRDefault="00630E2C" w:rsidP="00A26418">
      <w:pPr>
        <w:pStyle w:val="EndnoteText"/>
        <w:rPr>
          <w:rFonts w:asciiTheme="majorBidi" w:hAnsiTheme="majorBidi" w:cstheme="majorBidi"/>
          <w:lang w:val="en-GB"/>
        </w:rPr>
      </w:pPr>
      <w:r>
        <w:rPr>
          <w:rStyle w:val="FootnoteReference"/>
        </w:rPr>
        <w:footnoteRef/>
      </w:r>
      <w:r>
        <w:t xml:space="preserve"> </w:t>
      </w:r>
      <w:r w:rsidRPr="006A1884">
        <w:rPr>
          <w:rFonts w:asciiTheme="majorBidi" w:hAnsiTheme="majorBidi" w:cstheme="majorBidi"/>
          <w:lang w:val="en-GB"/>
        </w:rPr>
        <w:t xml:space="preserve">See also the article “Against </w:t>
      </w:r>
      <w:proofErr w:type="spellStart"/>
      <w:r w:rsidRPr="006A1884">
        <w:rPr>
          <w:rFonts w:asciiTheme="majorBidi" w:hAnsiTheme="majorBidi" w:cstheme="majorBidi"/>
          <w:lang w:val="en-GB"/>
        </w:rPr>
        <w:t>Epistocracy</w:t>
      </w:r>
      <w:proofErr w:type="spellEnd"/>
      <w:r w:rsidRPr="006A1884">
        <w:rPr>
          <w:rFonts w:asciiTheme="majorBidi" w:hAnsiTheme="majorBidi" w:cstheme="majorBidi"/>
          <w:lang w:val="en-GB"/>
        </w:rPr>
        <w:t xml:space="preserve">” by </w:t>
      </w:r>
      <w:r w:rsidRPr="006A1884">
        <w:rPr>
          <w:rFonts w:asciiTheme="majorBidi" w:hAnsiTheme="majorBidi" w:cstheme="majorBidi"/>
          <w:lang w:val="en-GB" w:bidi="en-GB"/>
        </w:rPr>
        <w:t>Åsa</w:t>
      </w:r>
      <w:r w:rsidRPr="006A1884">
        <w:rPr>
          <w:rFonts w:asciiTheme="majorBidi" w:hAnsiTheme="majorBidi" w:cstheme="majorBidi"/>
          <w:lang w:val="en-GB"/>
        </w:rPr>
        <w:t xml:space="preserve"> </w:t>
      </w:r>
      <w:proofErr w:type="spellStart"/>
      <w:r w:rsidRPr="006A1884">
        <w:rPr>
          <w:rFonts w:asciiTheme="majorBidi" w:hAnsiTheme="majorBidi" w:cstheme="majorBidi"/>
          <w:lang w:val="en-GB"/>
        </w:rPr>
        <w:t>Wikforss</w:t>
      </w:r>
      <w:proofErr w:type="spellEnd"/>
      <w:r w:rsidRPr="006A1884">
        <w:rPr>
          <w:rFonts w:asciiTheme="majorBidi" w:hAnsiTheme="majorBidi" w:cstheme="majorBidi"/>
          <w:lang w:val="en-GB"/>
        </w:rPr>
        <w:t xml:space="preserve"> on </w:t>
      </w:r>
      <w:proofErr w:type="spellStart"/>
      <w:r w:rsidRPr="006A1884">
        <w:rPr>
          <w:rFonts w:asciiTheme="majorBidi" w:hAnsiTheme="majorBidi" w:cstheme="majorBidi"/>
          <w:lang w:val="en-GB"/>
        </w:rPr>
        <w:t>Epistocracy</w:t>
      </w:r>
      <w:proofErr w:type="spellEnd"/>
      <w:r w:rsidRPr="006A1884">
        <w:rPr>
          <w:rFonts w:asciiTheme="majorBidi" w:hAnsiTheme="majorBidi" w:cstheme="majorBidi"/>
          <w:lang w:val="en-GB"/>
        </w:rPr>
        <w:t xml:space="preserve"> in this volume. </w:t>
      </w:r>
    </w:p>
    <w:p w14:paraId="08FA7921" w14:textId="507EDC52" w:rsidR="00630E2C" w:rsidRPr="004756F6" w:rsidRDefault="00630E2C">
      <w:pPr>
        <w:pStyle w:val="FootnoteText"/>
        <w:rPr>
          <w:lang w:val="en-US"/>
        </w:rPr>
      </w:pPr>
    </w:p>
  </w:footnote>
  <w:footnote w:id="13">
    <w:p w14:paraId="7F20B0C7" w14:textId="5BEAB69D" w:rsidR="00630E2C" w:rsidRPr="006A1884" w:rsidRDefault="00630E2C" w:rsidP="00A26418">
      <w:pPr>
        <w:pStyle w:val="EndnoteText"/>
        <w:rPr>
          <w:rFonts w:asciiTheme="majorBidi" w:hAnsiTheme="majorBidi" w:cstheme="majorBidi"/>
          <w:lang w:val="en-GB"/>
        </w:rPr>
      </w:pPr>
      <w:r>
        <w:rPr>
          <w:rStyle w:val="FootnoteReference"/>
        </w:rPr>
        <w:footnoteRef/>
      </w:r>
      <w:r>
        <w:t xml:space="preserve"> </w:t>
      </w:r>
      <w:r w:rsidRPr="006A1884">
        <w:rPr>
          <w:rFonts w:asciiTheme="majorBidi" w:hAnsiTheme="majorBidi" w:cstheme="majorBidi"/>
          <w:lang w:val="en-GB"/>
        </w:rPr>
        <w:t>The research project of the Center for Ethics and Public Affairs</w:t>
      </w:r>
      <w:r w:rsidR="00DF2496">
        <w:rPr>
          <w:rFonts w:asciiTheme="majorBidi" w:hAnsiTheme="majorBidi" w:cstheme="majorBidi"/>
          <w:lang w:val="en-GB"/>
        </w:rPr>
        <w:t xml:space="preserve"> (ETICA)</w:t>
      </w:r>
      <w:r w:rsidRPr="006A1884">
        <w:rPr>
          <w:rFonts w:asciiTheme="majorBidi" w:hAnsiTheme="majorBidi" w:cstheme="majorBidi"/>
          <w:lang w:val="en-GB"/>
        </w:rPr>
        <w:t xml:space="preserve"> will rely on this methodology for assessing and fostering trust in a time of crisis. </w:t>
      </w:r>
    </w:p>
    <w:p w14:paraId="6B9A7AC2" w14:textId="46D05506" w:rsidR="00630E2C" w:rsidRPr="004756F6" w:rsidRDefault="00630E2C">
      <w:pPr>
        <w:pStyle w:val="FootnoteText"/>
        <w:rPr>
          <w:lang w:val="en-US"/>
        </w:rPr>
      </w:pPr>
    </w:p>
  </w:footnote>
  <w:footnote w:id="14">
    <w:p w14:paraId="122CD482" w14:textId="4B8F355B" w:rsidR="00630E2C" w:rsidRPr="004756F6" w:rsidRDefault="00630E2C" w:rsidP="00A26418">
      <w:pPr>
        <w:pStyle w:val="FootnoteText"/>
        <w:rPr>
          <w:lang w:val="en-US"/>
        </w:rPr>
      </w:pPr>
      <w:r>
        <w:rPr>
          <w:rStyle w:val="FootnoteReference"/>
        </w:rPr>
        <w:footnoteRef/>
      </w:r>
      <w:r>
        <w:t xml:space="preserve"> </w:t>
      </w:r>
      <w:proofErr w:type="spellStart"/>
      <w:r w:rsidRPr="006A1884">
        <w:rPr>
          <w:rFonts w:asciiTheme="majorBidi" w:hAnsiTheme="majorBidi" w:cstheme="majorBidi"/>
        </w:rPr>
        <w:t>We</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should</w:t>
      </w:r>
      <w:proofErr w:type="spellEnd"/>
      <w:r w:rsidRPr="006A1884">
        <w:rPr>
          <w:rFonts w:asciiTheme="majorBidi" w:hAnsiTheme="majorBidi" w:cstheme="majorBidi"/>
        </w:rPr>
        <w:t xml:space="preserve"> point out, </w:t>
      </w:r>
      <w:proofErr w:type="spellStart"/>
      <w:r w:rsidRPr="006A1884">
        <w:rPr>
          <w:rFonts w:asciiTheme="majorBidi" w:hAnsiTheme="majorBidi" w:cstheme="majorBidi"/>
        </w:rPr>
        <w:t>maybe</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unnecessarily</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that</w:t>
      </w:r>
      <w:proofErr w:type="spellEnd"/>
      <w:r w:rsidRPr="006A1884">
        <w:rPr>
          <w:rFonts w:asciiTheme="majorBidi" w:hAnsiTheme="majorBidi" w:cstheme="majorBidi"/>
        </w:rPr>
        <w:t xml:space="preserve"> the mere </w:t>
      </w:r>
      <w:proofErr w:type="spellStart"/>
      <w:r w:rsidRPr="006A1884">
        <w:rPr>
          <w:rFonts w:asciiTheme="majorBidi" w:hAnsiTheme="majorBidi" w:cstheme="majorBidi"/>
        </w:rPr>
        <w:t>uncertainty</w:t>
      </w:r>
      <w:proofErr w:type="spellEnd"/>
      <w:r w:rsidRPr="006A1884">
        <w:rPr>
          <w:rFonts w:asciiTheme="majorBidi" w:hAnsiTheme="majorBidi" w:cstheme="majorBidi"/>
        </w:rPr>
        <w:t xml:space="preserve"> of the sort </w:t>
      </w:r>
      <w:proofErr w:type="spellStart"/>
      <w:r w:rsidRPr="006A1884">
        <w:rPr>
          <w:rFonts w:asciiTheme="majorBidi" w:hAnsiTheme="majorBidi" w:cstheme="majorBidi"/>
        </w:rPr>
        <w:t>inherent</w:t>
      </w:r>
      <w:proofErr w:type="spellEnd"/>
      <w:r w:rsidRPr="006A1884">
        <w:rPr>
          <w:rFonts w:asciiTheme="majorBidi" w:hAnsiTheme="majorBidi" w:cstheme="majorBidi"/>
        </w:rPr>
        <w:t xml:space="preserve"> in the </w:t>
      </w:r>
      <w:proofErr w:type="spellStart"/>
      <w:r w:rsidRPr="006A1884">
        <w:rPr>
          <w:rFonts w:asciiTheme="majorBidi" w:hAnsiTheme="majorBidi" w:cstheme="majorBidi"/>
        </w:rPr>
        <w:t>methodology</w:t>
      </w:r>
      <w:proofErr w:type="spellEnd"/>
      <w:r w:rsidRPr="006A1884">
        <w:rPr>
          <w:rFonts w:asciiTheme="majorBidi" w:hAnsiTheme="majorBidi" w:cstheme="majorBidi"/>
        </w:rPr>
        <w:t xml:space="preserve"> and practice of science, and </w:t>
      </w:r>
      <w:proofErr w:type="spellStart"/>
      <w:r w:rsidRPr="006A1884">
        <w:rPr>
          <w:rFonts w:asciiTheme="majorBidi" w:hAnsiTheme="majorBidi" w:cstheme="majorBidi"/>
        </w:rPr>
        <w:t>readily</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acknowledge</w:t>
      </w:r>
      <w:proofErr w:type="spellEnd"/>
      <w:r w:rsidRPr="006A1884">
        <w:rPr>
          <w:rFonts w:asciiTheme="majorBidi" w:hAnsiTheme="majorBidi" w:cstheme="majorBidi"/>
        </w:rPr>
        <w:t xml:space="preserve"> by scientists, </w:t>
      </w:r>
      <w:proofErr w:type="spellStart"/>
      <w:r w:rsidRPr="006A1884">
        <w:rPr>
          <w:rFonts w:asciiTheme="majorBidi" w:hAnsiTheme="majorBidi" w:cstheme="majorBidi"/>
        </w:rPr>
        <w:t>is</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not</w:t>
      </w:r>
      <w:proofErr w:type="spellEnd"/>
      <w:r w:rsidRPr="006A1884">
        <w:rPr>
          <w:rFonts w:asciiTheme="majorBidi" w:hAnsiTheme="majorBidi" w:cstheme="majorBidi"/>
        </w:rPr>
        <w:t xml:space="preserve"> a </w:t>
      </w:r>
      <w:proofErr w:type="spellStart"/>
      <w:r w:rsidRPr="006A1884">
        <w:rPr>
          <w:rFonts w:asciiTheme="majorBidi" w:hAnsiTheme="majorBidi" w:cstheme="majorBidi"/>
        </w:rPr>
        <w:t>sufficient</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reason</w:t>
      </w:r>
      <w:proofErr w:type="spellEnd"/>
      <w:r w:rsidRPr="006A1884">
        <w:rPr>
          <w:rFonts w:asciiTheme="majorBidi" w:hAnsiTheme="majorBidi" w:cstheme="majorBidi"/>
        </w:rPr>
        <w:t xml:space="preserve"> for scpeticism </w:t>
      </w:r>
      <w:proofErr w:type="spellStart"/>
      <w:r w:rsidRPr="006A1884">
        <w:rPr>
          <w:rFonts w:asciiTheme="majorBidi" w:hAnsiTheme="majorBidi" w:cstheme="majorBidi"/>
        </w:rPr>
        <w:t>about</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scientific</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expert</w:t>
      </w:r>
      <w:proofErr w:type="spellEnd"/>
      <w:r w:rsidRPr="006A1884">
        <w:rPr>
          <w:rFonts w:asciiTheme="majorBidi" w:hAnsiTheme="majorBidi" w:cstheme="majorBidi"/>
        </w:rPr>
        <w:t xml:space="preserve"> </w:t>
      </w:r>
      <w:proofErr w:type="spellStart"/>
      <w:r w:rsidRPr="006A1884">
        <w:rPr>
          <w:rFonts w:asciiTheme="majorBidi" w:hAnsiTheme="majorBidi" w:cstheme="majorBidi"/>
        </w:rPr>
        <w:t>advice</w:t>
      </w:r>
      <w:proofErr w:type="spellEnd"/>
      <w:r w:rsidRPr="006A1884">
        <w:rPr>
          <w:rFonts w:asciiTheme="majorBidi" w:hAnsiTheme="majorBidi" w:cstheme="majorBidi"/>
        </w:rPr>
        <w:t>.</w:t>
      </w:r>
    </w:p>
  </w:footnote>
  <w:footnote w:id="15">
    <w:p w14:paraId="514657E7" w14:textId="088D3732" w:rsidR="00630E2C" w:rsidRPr="006A1884" w:rsidRDefault="00630E2C" w:rsidP="00A26418">
      <w:pPr>
        <w:pStyle w:val="EndnoteText"/>
        <w:rPr>
          <w:rFonts w:asciiTheme="majorBidi" w:hAnsiTheme="majorBidi" w:cstheme="majorBidi"/>
          <w:b/>
          <w:bCs/>
          <w:lang w:val="en-GB"/>
        </w:rPr>
      </w:pPr>
      <w:r>
        <w:rPr>
          <w:rStyle w:val="FootnoteReference"/>
        </w:rPr>
        <w:footnoteRef/>
      </w:r>
      <w:r w:rsidRPr="006A1884">
        <w:rPr>
          <w:rFonts w:asciiTheme="majorBidi" w:hAnsiTheme="majorBidi" w:cstheme="majorBidi"/>
          <w:lang w:val="en-GB"/>
        </w:rPr>
        <w:t xml:space="preserve">At the same time, it is important to take values into account in a way that does not deny their incompatibility with others and that does not distort the scientific message. Some values are </w:t>
      </w:r>
      <w:r w:rsidR="00DF2496">
        <w:rPr>
          <w:rFonts w:asciiTheme="majorBidi" w:hAnsiTheme="majorBidi" w:cstheme="majorBidi"/>
          <w:lang w:val="en-GB"/>
        </w:rPr>
        <w:t xml:space="preserve">just </w:t>
      </w:r>
      <w:r w:rsidRPr="006A1884">
        <w:rPr>
          <w:rFonts w:asciiTheme="majorBidi" w:hAnsiTheme="majorBidi" w:cstheme="majorBidi"/>
          <w:lang w:val="en-GB"/>
        </w:rPr>
        <w:t>incompatible with pro-environmental behaviour and a just system. That is why</w:t>
      </w:r>
      <w:r w:rsidR="00DF2496">
        <w:rPr>
          <w:rFonts w:asciiTheme="majorBidi" w:hAnsiTheme="majorBidi" w:cstheme="majorBidi"/>
          <w:lang w:val="en-GB"/>
        </w:rPr>
        <w:t>,</w:t>
      </w:r>
      <w:r w:rsidRPr="006A1884">
        <w:rPr>
          <w:rFonts w:asciiTheme="majorBidi" w:hAnsiTheme="majorBidi" w:cstheme="majorBidi"/>
          <w:lang w:val="en-GB"/>
        </w:rPr>
        <w:t xml:space="preserve"> the social situatedness of the untrusting needs to be </w:t>
      </w:r>
      <w:proofErr w:type="gramStart"/>
      <w:r w:rsidRPr="006A1884">
        <w:rPr>
          <w:rFonts w:asciiTheme="majorBidi" w:hAnsiTheme="majorBidi" w:cstheme="majorBidi"/>
          <w:lang w:val="en-GB"/>
        </w:rPr>
        <w:t>taken into account</w:t>
      </w:r>
      <w:proofErr w:type="gramEnd"/>
      <w:r w:rsidRPr="006A1884">
        <w:rPr>
          <w:rFonts w:asciiTheme="majorBidi" w:hAnsiTheme="majorBidi" w:cstheme="majorBidi"/>
          <w:lang w:val="en-GB"/>
        </w:rPr>
        <w:t xml:space="preserve">, not only by experts who seek trust, but also by the untrusting themselves. This is Heidi </w:t>
      </w:r>
      <w:r w:rsidRPr="006A1884">
        <w:rPr>
          <w:rFonts w:asciiTheme="majorBidi" w:hAnsiTheme="majorBidi" w:cstheme="majorBidi"/>
        </w:rPr>
        <w:fldChar w:fldCharType="begin"/>
      </w:r>
      <w:r w:rsidRPr="006A1884">
        <w:rPr>
          <w:rFonts w:asciiTheme="majorBidi" w:hAnsiTheme="majorBidi" w:cstheme="majorBidi"/>
          <w:lang w:val="en-GB"/>
        </w:rPr>
        <w:instrText xml:space="preserve"> ADDIN ZOTERO_ITEM CSL_CITATION {"citationID":"1MwPnqUF","properties":{"formattedCitation":"(Grasswick 2014)","plainCitation":"(Grasswick 2014)","noteIndex":10},"citationItems":[{"id":221,"uris":["http://zotero.org/users/local/5grjdT5j/items/A6ZXX7DJ"],"uri":["http://zotero.org/users/local/5grjdT5j/items/A6ZXX7DJ"],"itemData":{"id":221,"type":"article-journal","container-title":"Hypatia","DOI":"10.1111/hypa.12090","issue":"3","page":"541–557","source":"PhilPapers","title":"Climate Change Science and Responsible Trust: A Situated Approach","title-short":"Climate Change Science and Responsible Trust","volume":"29","author":[{"family":"Grasswick","given":"Heidi"}],"issued":{"date-parts":[["2014"]]}}}],"schema":"https://github.com/citation-style-language/schema/raw/master/csl-citation.json"}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noProof/>
          <w:lang w:val="en-GB"/>
        </w:rPr>
        <w:t>Grasswick's (2014)</w:t>
      </w:r>
      <w:r w:rsidRPr="006A1884">
        <w:rPr>
          <w:rFonts w:asciiTheme="majorBidi" w:hAnsiTheme="majorBidi" w:cstheme="majorBidi"/>
        </w:rPr>
        <w:fldChar w:fldCharType="end"/>
      </w:r>
      <w:r w:rsidRPr="006A1884">
        <w:rPr>
          <w:rFonts w:asciiTheme="majorBidi" w:hAnsiTheme="majorBidi" w:cstheme="majorBidi"/>
          <w:lang w:val="en-GB"/>
        </w:rPr>
        <w:t xml:space="preserve"> proposal to address climate scepticism.</w:t>
      </w:r>
    </w:p>
    <w:p w14:paraId="1C1F4103" w14:textId="0C925B21" w:rsidR="00630E2C" w:rsidRPr="004756F6" w:rsidRDefault="00630E2C">
      <w:pPr>
        <w:pStyle w:val="FootnoteText"/>
        <w:rPr>
          <w:lang w:val="en-US"/>
        </w:rPr>
      </w:pPr>
    </w:p>
  </w:footnote>
  <w:footnote w:id="16">
    <w:p w14:paraId="511C6043" w14:textId="0EF5853A" w:rsidR="00630E2C" w:rsidRPr="006A1884" w:rsidRDefault="00630E2C" w:rsidP="00A26418">
      <w:pPr>
        <w:pStyle w:val="EndnoteText"/>
        <w:rPr>
          <w:rFonts w:asciiTheme="majorBidi" w:hAnsiTheme="majorBidi" w:cstheme="majorBidi"/>
          <w:lang w:val="en-GB"/>
        </w:rPr>
      </w:pPr>
      <w:r>
        <w:rPr>
          <w:rStyle w:val="FootnoteReference"/>
        </w:rPr>
        <w:footnoteRef/>
      </w:r>
      <w:r>
        <w:t xml:space="preserve"> </w:t>
      </w:r>
      <w:r w:rsidRPr="006A1884">
        <w:rPr>
          <w:rFonts w:asciiTheme="majorBidi" w:hAnsiTheme="majorBidi" w:cstheme="majorBidi"/>
        </w:rPr>
        <w:t>See also</w:t>
      </w:r>
      <w:r w:rsidR="00DF2496">
        <w:rPr>
          <w:rFonts w:asciiTheme="majorBidi" w:hAnsiTheme="majorBidi" w:cstheme="majorBidi"/>
        </w:rPr>
        <w:t>,</w:t>
      </w:r>
      <w:r w:rsidRPr="006A1884">
        <w:rPr>
          <w:rFonts w:asciiTheme="majorBidi" w:hAnsiTheme="majorBidi" w:cstheme="majorBidi"/>
        </w:rPr>
        <w:t xml:space="preserve"> Baghramian</w:t>
      </w:r>
      <w:r>
        <w:rPr>
          <w:rFonts w:asciiTheme="majorBidi" w:hAnsiTheme="majorBidi" w:cstheme="majorBidi"/>
        </w:rPr>
        <w:t xml:space="preserve"> and</w:t>
      </w:r>
      <w:r w:rsidRPr="006A1884">
        <w:rPr>
          <w:rFonts w:asciiTheme="majorBidi" w:hAnsiTheme="majorBidi" w:cstheme="majorBidi"/>
        </w:rPr>
        <w:t xml:space="preserve"> Panizza (2022</w:t>
      </w:r>
      <w:r>
        <w:rPr>
          <w:rFonts w:asciiTheme="majorBidi" w:hAnsiTheme="majorBidi" w:cstheme="majorBidi"/>
        </w:rPr>
        <w:t>)</w:t>
      </w:r>
      <w:r w:rsidRPr="006A1884">
        <w:rPr>
          <w:rFonts w:asciiTheme="majorBidi" w:hAnsiTheme="majorBidi" w:cstheme="majorBidi"/>
        </w:rPr>
        <w:t xml:space="preserve"> for a discussion of this topic. </w:t>
      </w:r>
    </w:p>
    <w:p w14:paraId="4DBCB830" w14:textId="11DD5742" w:rsidR="00630E2C" w:rsidRPr="004756F6" w:rsidRDefault="00630E2C">
      <w:pPr>
        <w:pStyle w:val="FootnoteText"/>
        <w:rPr>
          <w:lang w:val="en-US"/>
        </w:rPr>
      </w:pPr>
    </w:p>
  </w:footnote>
  <w:footnote w:id="17">
    <w:p w14:paraId="1E93B001" w14:textId="77777777" w:rsidR="00630E2C" w:rsidRPr="0044421E" w:rsidRDefault="00630E2C" w:rsidP="00A26418">
      <w:pPr>
        <w:pStyle w:val="EndnoteText"/>
      </w:pPr>
      <w:r>
        <w:rPr>
          <w:rStyle w:val="FootnoteReference"/>
        </w:rPr>
        <w:footnoteRef/>
      </w:r>
      <w:r>
        <w:t xml:space="preserve"> </w:t>
      </w:r>
      <w:r w:rsidRPr="006A1884">
        <w:rPr>
          <w:rFonts w:asciiTheme="majorBidi" w:hAnsiTheme="majorBidi" w:cstheme="majorBidi"/>
          <w:lang w:val="en-GB"/>
        </w:rPr>
        <w:t xml:space="preserve">The approach is tantamount to taking a ‘situated’ perspective, advocated by feminist epistemologists such as </w:t>
      </w:r>
      <w:r w:rsidRPr="006A1884">
        <w:rPr>
          <w:rFonts w:asciiTheme="majorBidi" w:hAnsiTheme="majorBidi" w:cstheme="majorBidi"/>
        </w:rPr>
        <w:fldChar w:fldCharType="begin"/>
      </w:r>
      <w:r w:rsidRPr="006A1884">
        <w:rPr>
          <w:rFonts w:asciiTheme="majorBidi" w:hAnsiTheme="majorBidi" w:cstheme="majorBidi"/>
          <w:lang w:val="en-GB"/>
        </w:rPr>
        <w:instrText xml:space="preserve"> ADDIN ZOTERO_ITEM CSL_CITATION {"citationID":"xoiFtult","properties":{"formattedCitation":"(Code 2006)","plainCitation":"(Code 2006)","noteIndex":8},"citationItems":[{"id":526,"uris":["http://zotero.org/users/local/5grjdT5j/items/55ZYVNCV"],"uri":["http://zotero.org/users/local/5grjdT5j/items/55ZYVNCV"],"itemData":{"id":526,"type":"book","abstract":"How could ecological thinking animate an epistemology capable of addressing feminist, multicultural, and other post-colonial concerns? Starting from an epistemological approach implicit in Rachel Carson's scientific practice, Lorraine Code elaborates the creative, restructuring resources of ecology for a theory of knowledge. She critiques the instrumental rationality, abstract individualism, and exploitation of people and places that western epistemologies of mastery have legitimated, to propose a politics of epistemic location, sensitive to the interplay of particularity and diversity, and focused on responsible epistemic practice.  Drawing on ecological theory and practice, on naturalized epistemology, and on feminist and post-colonial theories, Code analyzes extended examples from developmental psychology, and from two \"natural\" institutions of knowledge production—medicine and law. These institutions lend themselves well to a reconfigured naturalism. They are, in practice, empirically-scientifically informed, specifically situated, and locally interpretive. With human subjects as their \"objects\" of knowledge, they invoke the responsibility requirements central to Code's larger project.  This book discusses a wide range of literature in philosophy, social science, and ethico-political thought. Highly innovative, it will generate productive conversations in feminist theory, and in the ethics and politics of knowledge more broadly conceived.","collection-title":"Studies in Feminist Philosophy","event-place":"Oxford, New York","ISBN":"978-0-19-515944-8","number-of-pages":"344","publisher":"Oxford University Press","publisher-place":"Oxford, New York","source":"Oxford University Press","title":"Ecological Thinking: The Politics of Epistemic Location","title-short":"Ecological Thinking","author":[{"family":"Code","given":"Lorraine"}],"issued":{"date-parts":[["2006",5,11]]}}}],"schema":"https://github.com/citation-style-language/schema/raw/master/csl-citation.json"}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noProof/>
          <w:lang w:val="en-GB"/>
        </w:rPr>
        <w:t>Code (2006)</w:t>
      </w:r>
      <w:r w:rsidRPr="006A1884">
        <w:rPr>
          <w:rFonts w:asciiTheme="majorBidi" w:hAnsiTheme="majorBidi" w:cstheme="majorBidi"/>
        </w:rPr>
        <w:fldChar w:fldCharType="end"/>
      </w:r>
      <w:r w:rsidRPr="006A1884">
        <w:rPr>
          <w:rFonts w:asciiTheme="majorBidi" w:hAnsiTheme="majorBidi" w:cstheme="majorBidi"/>
          <w:lang w:val="en-GB"/>
        </w:rPr>
        <w:t xml:space="preserve"> and </w:t>
      </w:r>
      <w:r w:rsidRPr="006A1884">
        <w:rPr>
          <w:rFonts w:asciiTheme="majorBidi" w:hAnsiTheme="majorBidi" w:cstheme="majorBidi"/>
        </w:rPr>
        <w:fldChar w:fldCharType="begin"/>
      </w:r>
      <w:r w:rsidRPr="006A1884">
        <w:rPr>
          <w:rFonts w:asciiTheme="majorBidi" w:hAnsiTheme="majorBidi" w:cstheme="majorBidi"/>
          <w:lang w:val="en-GB"/>
        </w:rPr>
        <w:instrText xml:space="preserve"> ADDIN ZOTERO_ITEM CSL_CITATION {"citationID":"ZX3gJEKU","properties":{"formattedCitation":"(Wylie 2003)","plainCitation":"(Wylie 2003)","noteIndex":8},"citationItems":[{"id":530,"uris":["http://zotero.org/users/local/5grjdT5j/items/BBWJSHMC"],"uri":["http://zotero.org/users/local/5grjdT5j/items/BBWJSHMC"],"itemData":{"id":530,"type":"chapter","container-title":"Science and Other Cultures: Issues in Philosophies of Science and Technology","page":"26–48","publisher":"Routledge","source":"PhilPapers","title":"</w:instrText>
      </w:r>
      <w:r w:rsidRPr="006A1884">
        <w:rPr>
          <w:rFonts w:asciiTheme="majorBidi" w:hAnsiTheme="majorBidi" w:cstheme="majorBidi"/>
        </w:rPr>
        <w:instrText xml:space="preserve">Why Standpoint Matters","editor":[{"family":"Figueroa","given":"Robert"},{"family":"Harding","given":"Sandra G."}],"author":[{"family":"Wylie","given":"Alison"}],"issued":{"date-parts":[["2003"]]}}}],"schema":"https://github.com/citation-style-language/schema/raw/master/csl-citation.json"} </w:instrText>
      </w:r>
      <w:r w:rsidRPr="006A1884">
        <w:rPr>
          <w:rFonts w:asciiTheme="majorBidi" w:hAnsiTheme="majorBidi" w:cstheme="majorBidi"/>
        </w:rPr>
        <w:fldChar w:fldCharType="separate"/>
      </w:r>
      <w:r w:rsidRPr="006A1884">
        <w:rPr>
          <w:rFonts w:asciiTheme="majorBidi" w:hAnsiTheme="majorBidi" w:cstheme="majorBidi"/>
          <w:noProof/>
        </w:rPr>
        <w:t>Wylie (2003)</w:t>
      </w:r>
      <w:r w:rsidRPr="006A1884">
        <w:rPr>
          <w:rFonts w:asciiTheme="majorBidi" w:hAnsiTheme="majorBidi" w:cstheme="majorBidi"/>
        </w:rPr>
        <w:fldChar w:fldCharType="end"/>
      </w:r>
      <w:r w:rsidRPr="006A1884">
        <w:rPr>
          <w:rFonts w:asciiTheme="majorBidi" w:hAnsiTheme="majorBidi" w:cstheme="majorBidi"/>
        </w:rPr>
        <w:t>.</w:t>
      </w:r>
    </w:p>
    <w:p w14:paraId="619F30CF" w14:textId="7C1186F2" w:rsidR="00630E2C" w:rsidRPr="004756F6" w:rsidRDefault="00630E2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B5D67"/>
    <w:multiLevelType w:val="multilevel"/>
    <w:tmpl w:val="F396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B75F7"/>
    <w:multiLevelType w:val="multilevel"/>
    <w:tmpl w:val="BD5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86594"/>
    <w:multiLevelType w:val="multilevel"/>
    <w:tmpl w:val="359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73942"/>
    <w:multiLevelType w:val="multilevel"/>
    <w:tmpl w:val="C0A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659FD"/>
    <w:multiLevelType w:val="multilevel"/>
    <w:tmpl w:val="2CD4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D19A4"/>
    <w:multiLevelType w:val="multilevel"/>
    <w:tmpl w:val="B4D6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02FAE"/>
    <w:multiLevelType w:val="multilevel"/>
    <w:tmpl w:val="C65E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C502C"/>
    <w:multiLevelType w:val="multilevel"/>
    <w:tmpl w:val="BA2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B69E2"/>
    <w:multiLevelType w:val="multilevel"/>
    <w:tmpl w:val="B162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A51F8"/>
    <w:multiLevelType w:val="multilevel"/>
    <w:tmpl w:val="97B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A5EE4"/>
    <w:multiLevelType w:val="hybridMultilevel"/>
    <w:tmpl w:val="59BA9BB8"/>
    <w:lvl w:ilvl="0" w:tplc="B73E55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B94143"/>
    <w:multiLevelType w:val="hybridMultilevel"/>
    <w:tmpl w:val="39E6B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2C6B61"/>
    <w:multiLevelType w:val="multilevel"/>
    <w:tmpl w:val="614C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B7DE1"/>
    <w:multiLevelType w:val="hybridMultilevel"/>
    <w:tmpl w:val="FE188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D7027"/>
    <w:multiLevelType w:val="multilevel"/>
    <w:tmpl w:val="B8B0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07564"/>
    <w:multiLevelType w:val="multilevel"/>
    <w:tmpl w:val="B080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394279">
    <w:abstractNumId w:val="10"/>
  </w:num>
  <w:num w:numId="2" w16cid:durableId="453403425">
    <w:abstractNumId w:val="13"/>
  </w:num>
  <w:num w:numId="3" w16cid:durableId="1076367248">
    <w:abstractNumId w:val="1"/>
  </w:num>
  <w:num w:numId="4" w16cid:durableId="129324381">
    <w:abstractNumId w:val="2"/>
  </w:num>
  <w:num w:numId="5" w16cid:durableId="1332295320">
    <w:abstractNumId w:val="0"/>
  </w:num>
  <w:num w:numId="6" w16cid:durableId="1022129607">
    <w:abstractNumId w:val="12"/>
  </w:num>
  <w:num w:numId="7" w16cid:durableId="17589036">
    <w:abstractNumId w:val="15"/>
  </w:num>
  <w:num w:numId="8" w16cid:durableId="1605385086">
    <w:abstractNumId w:val="9"/>
  </w:num>
  <w:num w:numId="9" w16cid:durableId="625964281">
    <w:abstractNumId w:val="5"/>
  </w:num>
  <w:num w:numId="10" w16cid:durableId="1341003784">
    <w:abstractNumId w:val="8"/>
  </w:num>
  <w:num w:numId="11" w16cid:durableId="1945114093">
    <w:abstractNumId w:val="6"/>
  </w:num>
  <w:num w:numId="12" w16cid:durableId="1001392710">
    <w:abstractNumId w:val="14"/>
  </w:num>
  <w:num w:numId="13" w16cid:durableId="723455681">
    <w:abstractNumId w:val="3"/>
  </w:num>
  <w:num w:numId="14" w16cid:durableId="194126976">
    <w:abstractNumId w:val="7"/>
  </w:num>
  <w:num w:numId="15" w16cid:durableId="1984235900">
    <w:abstractNumId w:val="4"/>
  </w:num>
  <w:num w:numId="16" w16cid:durableId="263267749">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zeni Hovakimyan">
    <w15:presenceInfo w15:providerId="None" w15:userId="Nazeni Hovakim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6"/>
  <w:doNotDisplayPageBoundaries/>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9E"/>
    <w:rsid w:val="00002C16"/>
    <w:rsid w:val="00003093"/>
    <w:rsid w:val="00004F9F"/>
    <w:rsid w:val="00005A66"/>
    <w:rsid w:val="00010A2E"/>
    <w:rsid w:val="00011677"/>
    <w:rsid w:val="00022197"/>
    <w:rsid w:val="00023B16"/>
    <w:rsid w:val="00025FEF"/>
    <w:rsid w:val="00037ED3"/>
    <w:rsid w:val="00042DAE"/>
    <w:rsid w:val="0005476A"/>
    <w:rsid w:val="00056E3D"/>
    <w:rsid w:val="000623EC"/>
    <w:rsid w:val="000638E4"/>
    <w:rsid w:val="0006446B"/>
    <w:rsid w:val="00065E87"/>
    <w:rsid w:val="00067852"/>
    <w:rsid w:val="0007199E"/>
    <w:rsid w:val="000719A6"/>
    <w:rsid w:val="0007397B"/>
    <w:rsid w:val="00073D4D"/>
    <w:rsid w:val="0007441D"/>
    <w:rsid w:val="00081278"/>
    <w:rsid w:val="00091137"/>
    <w:rsid w:val="000966C5"/>
    <w:rsid w:val="000A1351"/>
    <w:rsid w:val="000A3707"/>
    <w:rsid w:val="000A5F3D"/>
    <w:rsid w:val="000C3102"/>
    <w:rsid w:val="000C3A23"/>
    <w:rsid w:val="000C5EF2"/>
    <w:rsid w:val="000C7C4E"/>
    <w:rsid w:val="000D38B9"/>
    <w:rsid w:val="000D49DD"/>
    <w:rsid w:val="000E01EC"/>
    <w:rsid w:val="000E08E0"/>
    <w:rsid w:val="000F0A65"/>
    <w:rsid w:val="000F12C1"/>
    <w:rsid w:val="00100200"/>
    <w:rsid w:val="00102D6B"/>
    <w:rsid w:val="00105263"/>
    <w:rsid w:val="00106396"/>
    <w:rsid w:val="0012695F"/>
    <w:rsid w:val="001340DD"/>
    <w:rsid w:val="00136C39"/>
    <w:rsid w:val="001408FE"/>
    <w:rsid w:val="0014787B"/>
    <w:rsid w:val="00156C17"/>
    <w:rsid w:val="00165D74"/>
    <w:rsid w:val="00176887"/>
    <w:rsid w:val="00183E21"/>
    <w:rsid w:val="00190908"/>
    <w:rsid w:val="00192F09"/>
    <w:rsid w:val="00194581"/>
    <w:rsid w:val="001951B0"/>
    <w:rsid w:val="001A018A"/>
    <w:rsid w:val="001A3D7A"/>
    <w:rsid w:val="001A4932"/>
    <w:rsid w:val="001A6F0B"/>
    <w:rsid w:val="001B086C"/>
    <w:rsid w:val="001B39C5"/>
    <w:rsid w:val="001B479F"/>
    <w:rsid w:val="001C194A"/>
    <w:rsid w:val="001D2117"/>
    <w:rsid w:val="001E02CE"/>
    <w:rsid w:val="001E4009"/>
    <w:rsid w:val="001E5279"/>
    <w:rsid w:val="001E541A"/>
    <w:rsid w:val="001E5EBF"/>
    <w:rsid w:val="001F1678"/>
    <w:rsid w:val="001F60B5"/>
    <w:rsid w:val="001F6A54"/>
    <w:rsid w:val="001F7D31"/>
    <w:rsid w:val="002024E0"/>
    <w:rsid w:val="002071A3"/>
    <w:rsid w:val="00207B5D"/>
    <w:rsid w:val="00211814"/>
    <w:rsid w:val="00220383"/>
    <w:rsid w:val="00232B22"/>
    <w:rsid w:val="00232C6D"/>
    <w:rsid w:val="00235A15"/>
    <w:rsid w:val="00251612"/>
    <w:rsid w:val="00260DCF"/>
    <w:rsid w:val="002622FE"/>
    <w:rsid w:val="002625D5"/>
    <w:rsid w:val="002670CD"/>
    <w:rsid w:val="00270141"/>
    <w:rsid w:val="002734ED"/>
    <w:rsid w:val="0027446E"/>
    <w:rsid w:val="00285B18"/>
    <w:rsid w:val="00295699"/>
    <w:rsid w:val="002A1A4A"/>
    <w:rsid w:val="002A5839"/>
    <w:rsid w:val="002A772B"/>
    <w:rsid w:val="002B1371"/>
    <w:rsid w:val="002C08A4"/>
    <w:rsid w:val="002C0B49"/>
    <w:rsid w:val="002C286E"/>
    <w:rsid w:val="002C4565"/>
    <w:rsid w:val="002D660D"/>
    <w:rsid w:val="002D66D6"/>
    <w:rsid w:val="002D7121"/>
    <w:rsid w:val="002E1EB1"/>
    <w:rsid w:val="002E7CE9"/>
    <w:rsid w:val="00304205"/>
    <w:rsid w:val="003044DA"/>
    <w:rsid w:val="00313E02"/>
    <w:rsid w:val="00324B83"/>
    <w:rsid w:val="0032615D"/>
    <w:rsid w:val="00332A83"/>
    <w:rsid w:val="00343FB1"/>
    <w:rsid w:val="003524FC"/>
    <w:rsid w:val="003544F9"/>
    <w:rsid w:val="00364800"/>
    <w:rsid w:val="0037488D"/>
    <w:rsid w:val="003754E7"/>
    <w:rsid w:val="0037643E"/>
    <w:rsid w:val="00384EB5"/>
    <w:rsid w:val="00392427"/>
    <w:rsid w:val="0039398D"/>
    <w:rsid w:val="00394DEF"/>
    <w:rsid w:val="00394EAB"/>
    <w:rsid w:val="003A1553"/>
    <w:rsid w:val="003A1AF4"/>
    <w:rsid w:val="003B38C9"/>
    <w:rsid w:val="003C1D50"/>
    <w:rsid w:val="003C4FF3"/>
    <w:rsid w:val="003C565F"/>
    <w:rsid w:val="003D2E85"/>
    <w:rsid w:val="003D4D83"/>
    <w:rsid w:val="003D6E76"/>
    <w:rsid w:val="003F420B"/>
    <w:rsid w:val="003F741C"/>
    <w:rsid w:val="004016D6"/>
    <w:rsid w:val="00407ADC"/>
    <w:rsid w:val="004101E0"/>
    <w:rsid w:val="004127B0"/>
    <w:rsid w:val="00412E49"/>
    <w:rsid w:val="00413FEF"/>
    <w:rsid w:val="00415921"/>
    <w:rsid w:val="0041677A"/>
    <w:rsid w:val="00431A02"/>
    <w:rsid w:val="00436C3F"/>
    <w:rsid w:val="00440B2E"/>
    <w:rsid w:val="00440B65"/>
    <w:rsid w:val="004412CF"/>
    <w:rsid w:val="0044133B"/>
    <w:rsid w:val="0044665C"/>
    <w:rsid w:val="0044708F"/>
    <w:rsid w:val="00450DB2"/>
    <w:rsid w:val="00450F87"/>
    <w:rsid w:val="0045149F"/>
    <w:rsid w:val="004524E8"/>
    <w:rsid w:val="004526CA"/>
    <w:rsid w:val="00454630"/>
    <w:rsid w:val="00457A15"/>
    <w:rsid w:val="00457B22"/>
    <w:rsid w:val="004618C0"/>
    <w:rsid w:val="004719A7"/>
    <w:rsid w:val="00473D6A"/>
    <w:rsid w:val="004756F6"/>
    <w:rsid w:val="00484554"/>
    <w:rsid w:val="00496E02"/>
    <w:rsid w:val="00496E88"/>
    <w:rsid w:val="004A3019"/>
    <w:rsid w:val="004B1906"/>
    <w:rsid w:val="004B459A"/>
    <w:rsid w:val="004C0743"/>
    <w:rsid w:val="004C19A6"/>
    <w:rsid w:val="004D4D41"/>
    <w:rsid w:val="004D51E5"/>
    <w:rsid w:val="004D59CD"/>
    <w:rsid w:val="004D62C0"/>
    <w:rsid w:val="004E2EF3"/>
    <w:rsid w:val="004E61D2"/>
    <w:rsid w:val="004F35CF"/>
    <w:rsid w:val="00515384"/>
    <w:rsid w:val="005164DD"/>
    <w:rsid w:val="00516693"/>
    <w:rsid w:val="00526BEE"/>
    <w:rsid w:val="005270A8"/>
    <w:rsid w:val="005410AD"/>
    <w:rsid w:val="00542534"/>
    <w:rsid w:val="00542987"/>
    <w:rsid w:val="005444C2"/>
    <w:rsid w:val="00544622"/>
    <w:rsid w:val="00545232"/>
    <w:rsid w:val="00551199"/>
    <w:rsid w:val="00556132"/>
    <w:rsid w:val="005579AC"/>
    <w:rsid w:val="0056654A"/>
    <w:rsid w:val="0056799B"/>
    <w:rsid w:val="00571C0E"/>
    <w:rsid w:val="00572820"/>
    <w:rsid w:val="00573C38"/>
    <w:rsid w:val="005750DF"/>
    <w:rsid w:val="00585A5B"/>
    <w:rsid w:val="00585D27"/>
    <w:rsid w:val="005860CF"/>
    <w:rsid w:val="00587447"/>
    <w:rsid w:val="005A22BC"/>
    <w:rsid w:val="005A7530"/>
    <w:rsid w:val="005B0D43"/>
    <w:rsid w:val="005B4D79"/>
    <w:rsid w:val="005D07EC"/>
    <w:rsid w:val="005D406E"/>
    <w:rsid w:val="005D46FA"/>
    <w:rsid w:val="005D50D2"/>
    <w:rsid w:val="005D7719"/>
    <w:rsid w:val="005F3EB8"/>
    <w:rsid w:val="005F4AE8"/>
    <w:rsid w:val="005F5FA9"/>
    <w:rsid w:val="00600114"/>
    <w:rsid w:val="006107C6"/>
    <w:rsid w:val="00611AC4"/>
    <w:rsid w:val="00615655"/>
    <w:rsid w:val="00615F2E"/>
    <w:rsid w:val="0061791D"/>
    <w:rsid w:val="006211E3"/>
    <w:rsid w:val="00621DF4"/>
    <w:rsid w:val="0062342C"/>
    <w:rsid w:val="006238CC"/>
    <w:rsid w:val="006271E9"/>
    <w:rsid w:val="00627C0A"/>
    <w:rsid w:val="00630E2C"/>
    <w:rsid w:val="0063784B"/>
    <w:rsid w:val="006473AD"/>
    <w:rsid w:val="0065145D"/>
    <w:rsid w:val="00652552"/>
    <w:rsid w:val="00656E3F"/>
    <w:rsid w:val="00663BA4"/>
    <w:rsid w:val="006729B4"/>
    <w:rsid w:val="00691C08"/>
    <w:rsid w:val="00692AC6"/>
    <w:rsid w:val="00693168"/>
    <w:rsid w:val="006A1884"/>
    <w:rsid w:val="006C7FC3"/>
    <w:rsid w:val="006E3093"/>
    <w:rsid w:val="006E595F"/>
    <w:rsid w:val="006F3709"/>
    <w:rsid w:val="006F3D65"/>
    <w:rsid w:val="006F7251"/>
    <w:rsid w:val="006F7B37"/>
    <w:rsid w:val="00700FD5"/>
    <w:rsid w:val="00702C74"/>
    <w:rsid w:val="007041DE"/>
    <w:rsid w:val="00704558"/>
    <w:rsid w:val="00711037"/>
    <w:rsid w:val="00711595"/>
    <w:rsid w:val="00713DC4"/>
    <w:rsid w:val="00720599"/>
    <w:rsid w:val="00722FD8"/>
    <w:rsid w:val="00723F05"/>
    <w:rsid w:val="007252FD"/>
    <w:rsid w:val="00726302"/>
    <w:rsid w:val="0072793A"/>
    <w:rsid w:val="00742A06"/>
    <w:rsid w:val="00742F85"/>
    <w:rsid w:val="00744AB7"/>
    <w:rsid w:val="00746300"/>
    <w:rsid w:val="007469F0"/>
    <w:rsid w:val="00750B0D"/>
    <w:rsid w:val="00750D71"/>
    <w:rsid w:val="00752085"/>
    <w:rsid w:val="007534D3"/>
    <w:rsid w:val="007534E5"/>
    <w:rsid w:val="00755DEF"/>
    <w:rsid w:val="007626E6"/>
    <w:rsid w:val="007639E8"/>
    <w:rsid w:val="00763EBF"/>
    <w:rsid w:val="007649E4"/>
    <w:rsid w:val="00766A32"/>
    <w:rsid w:val="007671F5"/>
    <w:rsid w:val="0076795E"/>
    <w:rsid w:val="00780321"/>
    <w:rsid w:val="00781C27"/>
    <w:rsid w:val="00784EB6"/>
    <w:rsid w:val="007876D7"/>
    <w:rsid w:val="00787CE7"/>
    <w:rsid w:val="0079296A"/>
    <w:rsid w:val="0079442A"/>
    <w:rsid w:val="00795E25"/>
    <w:rsid w:val="007A0067"/>
    <w:rsid w:val="007A05B4"/>
    <w:rsid w:val="007C2902"/>
    <w:rsid w:val="007C3F5F"/>
    <w:rsid w:val="007C75CE"/>
    <w:rsid w:val="007D1260"/>
    <w:rsid w:val="007D2E9E"/>
    <w:rsid w:val="007E09DC"/>
    <w:rsid w:val="007E0AE8"/>
    <w:rsid w:val="007E69CA"/>
    <w:rsid w:val="007F0F64"/>
    <w:rsid w:val="007F1036"/>
    <w:rsid w:val="007F5515"/>
    <w:rsid w:val="007F71F4"/>
    <w:rsid w:val="00800181"/>
    <w:rsid w:val="008012DB"/>
    <w:rsid w:val="00810936"/>
    <w:rsid w:val="00812EC5"/>
    <w:rsid w:val="00815100"/>
    <w:rsid w:val="008207BD"/>
    <w:rsid w:val="00823C67"/>
    <w:rsid w:val="008244D7"/>
    <w:rsid w:val="00825B77"/>
    <w:rsid w:val="00826CE2"/>
    <w:rsid w:val="00827447"/>
    <w:rsid w:val="00835DCA"/>
    <w:rsid w:val="00841E47"/>
    <w:rsid w:val="008508CE"/>
    <w:rsid w:val="00853178"/>
    <w:rsid w:val="008543EE"/>
    <w:rsid w:val="0085533A"/>
    <w:rsid w:val="008555B7"/>
    <w:rsid w:val="00861ED7"/>
    <w:rsid w:val="00866C4D"/>
    <w:rsid w:val="0087187B"/>
    <w:rsid w:val="0087574D"/>
    <w:rsid w:val="008768BF"/>
    <w:rsid w:val="00881179"/>
    <w:rsid w:val="008823A7"/>
    <w:rsid w:val="00883775"/>
    <w:rsid w:val="00887227"/>
    <w:rsid w:val="00891046"/>
    <w:rsid w:val="00896189"/>
    <w:rsid w:val="008A2789"/>
    <w:rsid w:val="008A4745"/>
    <w:rsid w:val="008A59C5"/>
    <w:rsid w:val="008A5C53"/>
    <w:rsid w:val="008A7093"/>
    <w:rsid w:val="008A7BC8"/>
    <w:rsid w:val="008B1BD0"/>
    <w:rsid w:val="008B3ABF"/>
    <w:rsid w:val="008B47B5"/>
    <w:rsid w:val="008D4DF6"/>
    <w:rsid w:val="008E0904"/>
    <w:rsid w:val="009007C0"/>
    <w:rsid w:val="0090720C"/>
    <w:rsid w:val="009239A4"/>
    <w:rsid w:val="00927D12"/>
    <w:rsid w:val="009306AF"/>
    <w:rsid w:val="0093720F"/>
    <w:rsid w:val="0094465B"/>
    <w:rsid w:val="00947ED3"/>
    <w:rsid w:val="00957B67"/>
    <w:rsid w:val="00961447"/>
    <w:rsid w:val="00961983"/>
    <w:rsid w:val="00962F62"/>
    <w:rsid w:val="0096490B"/>
    <w:rsid w:val="00971D6E"/>
    <w:rsid w:val="0097569F"/>
    <w:rsid w:val="0098147C"/>
    <w:rsid w:val="0098548B"/>
    <w:rsid w:val="00986B3D"/>
    <w:rsid w:val="009923EA"/>
    <w:rsid w:val="009A22FB"/>
    <w:rsid w:val="009B182D"/>
    <w:rsid w:val="009B18CD"/>
    <w:rsid w:val="009B4256"/>
    <w:rsid w:val="009B4987"/>
    <w:rsid w:val="009B597F"/>
    <w:rsid w:val="009C165C"/>
    <w:rsid w:val="009C6CF7"/>
    <w:rsid w:val="009E0533"/>
    <w:rsid w:val="009E4B4C"/>
    <w:rsid w:val="009F2E06"/>
    <w:rsid w:val="009F3680"/>
    <w:rsid w:val="009F56AE"/>
    <w:rsid w:val="00A10F9F"/>
    <w:rsid w:val="00A16C28"/>
    <w:rsid w:val="00A17F71"/>
    <w:rsid w:val="00A225F1"/>
    <w:rsid w:val="00A24355"/>
    <w:rsid w:val="00A2565B"/>
    <w:rsid w:val="00A26418"/>
    <w:rsid w:val="00A26E26"/>
    <w:rsid w:val="00A31CF0"/>
    <w:rsid w:val="00A321DA"/>
    <w:rsid w:val="00A405F8"/>
    <w:rsid w:val="00A40E3F"/>
    <w:rsid w:val="00A43CC3"/>
    <w:rsid w:val="00A5201B"/>
    <w:rsid w:val="00A5675D"/>
    <w:rsid w:val="00A61E82"/>
    <w:rsid w:val="00A62573"/>
    <w:rsid w:val="00A727C4"/>
    <w:rsid w:val="00A72D75"/>
    <w:rsid w:val="00A73719"/>
    <w:rsid w:val="00A75A01"/>
    <w:rsid w:val="00A8369D"/>
    <w:rsid w:val="00A83F82"/>
    <w:rsid w:val="00A86126"/>
    <w:rsid w:val="00A901FA"/>
    <w:rsid w:val="00A90E28"/>
    <w:rsid w:val="00A90E5C"/>
    <w:rsid w:val="00A94E62"/>
    <w:rsid w:val="00AA0EE1"/>
    <w:rsid w:val="00AA2F94"/>
    <w:rsid w:val="00AA44CD"/>
    <w:rsid w:val="00AB12C4"/>
    <w:rsid w:val="00AB6CFA"/>
    <w:rsid w:val="00AB7704"/>
    <w:rsid w:val="00AC05EB"/>
    <w:rsid w:val="00AC6199"/>
    <w:rsid w:val="00AD5F72"/>
    <w:rsid w:val="00AD61D1"/>
    <w:rsid w:val="00AE253C"/>
    <w:rsid w:val="00AE4403"/>
    <w:rsid w:val="00AE4624"/>
    <w:rsid w:val="00AE548B"/>
    <w:rsid w:val="00AE6434"/>
    <w:rsid w:val="00AE68D7"/>
    <w:rsid w:val="00AE6D73"/>
    <w:rsid w:val="00AE723F"/>
    <w:rsid w:val="00AF4781"/>
    <w:rsid w:val="00AF70B9"/>
    <w:rsid w:val="00B00C8F"/>
    <w:rsid w:val="00B02CA0"/>
    <w:rsid w:val="00B03A31"/>
    <w:rsid w:val="00B14900"/>
    <w:rsid w:val="00B15806"/>
    <w:rsid w:val="00B2506B"/>
    <w:rsid w:val="00B25FEB"/>
    <w:rsid w:val="00B2683D"/>
    <w:rsid w:val="00B27E9B"/>
    <w:rsid w:val="00B3248A"/>
    <w:rsid w:val="00B45430"/>
    <w:rsid w:val="00B46E58"/>
    <w:rsid w:val="00B539C2"/>
    <w:rsid w:val="00B577B3"/>
    <w:rsid w:val="00B60406"/>
    <w:rsid w:val="00B6237B"/>
    <w:rsid w:val="00B635BF"/>
    <w:rsid w:val="00B66707"/>
    <w:rsid w:val="00B70442"/>
    <w:rsid w:val="00B70555"/>
    <w:rsid w:val="00B70BB3"/>
    <w:rsid w:val="00B7130C"/>
    <w:rsid w:val="00B73E4F"/>
    <w:rsid w:val="00B77D7E"/>
    <w:rsid w:val="00B837FD"/>
    <w:rsid w:val="00B9078B"/>
    <w:rsid w:val="00B90C23"/>
    <w:rsid w:val="00B967DC"/>
    <w:rsid w:val="00B96C8B"/>
    <w:rsid w:val="00BA2A3B"/>
    <w:rsid w:val="00BA2F90"/>
    <w:rsid w:val="00BB2253"/>
    <w:rsid w:val="00BB59CA"/>
    <w:rsid w:val="00BC282D"/>
    <w:rsid w:val="00BD2F34"/>
    <w:rsid w:val="00BD3BD2"/>
    <w:rsid w:val="00BE4E41"/>
    <w:rsid w:val="00BE749D"/>
    <w:rsid w:val="00C00CC4"/>
    <w:rsid w:val="00C024D0"/>
    <w:rsid w:val="00C10772"/>
    <w:rsid w:val="00C10F15"/>
    <w:rsid w:val="00C3536B"/>
    <w:rsid w:val="00C37FF7"/>
    <w:rsid w:val="00C4273C"/>
    <w:rsid w:val="00C43CBA"/>
    <w:rsid w:val="00C459EB"/>
    <w:rsid w:val="00C53542"/>
    <w:rsid w:val="00C60660"/>
    <w:rsid w:val="00C63F09"/>
    <w:rsid w:val="00C668C8"/>
    <w:rsid w:val="00C711C3"/>
    <w:rsid w:val="00C71C70"/>
    <w:rsid w:val="00C76B20"/>
    <w:rsid w:val="00C76FB3"/>
    <w:rsid w:val="00C809A4"/>
    <w:rsid w:val="00C81726"/>
    <w:rsid w:val="00C81C5F"/>
    <w:rsid w:val="00C91753"/>
    <w:rsid w:val="00C95757"/>
    <w:rsid w:val="00C96CC2"/>
    <w:rsid w:val="00CA070E"/>
    <w:rsid w:val="00CA4407"/>
    <w:rsid w:val="00CA655D"/>
    <w:rsid w:val="00CA69EB"/>
    <w:rsid w:val="00CB2C57"/>
    <w:rsid w:val="00CB41F6"/>
    <w:rsid w:val="00CB66D0"/>
    <w:rsid w:val="00CC0E17"/>
    <w:rsid w:val="00CD2B69"/>
    <w:rsid w:val="00CD45CD"/>
    <w:rsid w:val="00CD4865"/>
    <w:rsid w:val="00CE028E"/>
    <w:rsid w:val="00CE2E37"/>
    <w:rsid w:val="00CE4376"/>
    <w:rsid w:val="00CE5B30"/>
    <w:rsid w:val="00CF3F1A"/>
    <w:rsid w:val="00CF57A2"/>
    <w:rsid w:val="00D00D5F"/>
    <w:rsid w:val="00D0385A"/>
    <w:rsid w:val="00D054EF"/>
    <w:rsid w:val="00D1127A"/>
    <w:rsid w:val="00D17318"/>
    <w:rsid w:val="00D22029"/>
    <w:rsid w:val="00D260CE"/>
    <w:rsid w:val="00D263E3"/>
    <w:rsid w:val="00D30EC3"/>
    <w:rsid w:val="00D34D3B"/>
    <w:rsid w:val="00D45569"/>
    <w:rsid w:val="00D46194"/>
    <w:rsid w:val="00D64F4F"/>
    <w:rsid w:val="00D75D3B"/>
    <w:rsid w:val="00D83B4D"/>
    <w:rsid w:val="00D83DB8"/>
    <w:rsid w:val="00D859F4"/>
    <w:rsid w:val="00D85E65"/>
    <w:rsid w:val="00D87A89"/>
    <w:rsid w:val="00D87FA9"/>
    <w:rsid w:val="00D9071A"/>
    <w:rsid w:val="00D9157D"/>
    <w:rsid w:val="00D92CE2"/>
    <w:rsid w:val="00DB4ECC"/>
    <w:rsid w:val="00DB7AB8"/>
    <w:rsid w:val="00DC1AF2"/>
    <w:rsid w:val="00DC6FBE"/>
    <w:rsid w:val="00DD22A7"/>
    <w:rsid w:val="00DD2806"/>
    <w:rsid w:val="00DD2B89"/>
    <w:rsid w:val="00DD48FD"/>
    <w:rsid w:val="00DD53C3"/>
    <w:rsid w:val="00DD7F35"/>
    <w:rsid w:val="00DE0C81"/>
    <w:rsid w:val="00DE6A66"/>
    <w:rsid w:val="00DE775B"/>
    <w:rsid w:val="00DF09F4"/>
    <w:rsid w:val="00DF1835"/>
    <w:rsid w:val="00DF2496"/>
    <w:rsid w:val="00DF39A3"/>
    <w:rsid w:val="00DF4B79"/>
    <w:rsid w:val="00DF6E0B"/>
    <w:rsid w:val="00E0588E"/>
    <w:rsid w:val="00E07A5D"/>
    <w:rsid w:val="00E11ED5"/>
    <w:rsid w:val="00E12783"/>
    <w:rsid w:val="00E22371"/>
    <w:rsid w:val="00E223BC"/>
    <w:rsid w:val="00E363F3"/>
    <w:rsid w:val="00E43024"/>
    <w:rsid w:val="00E47F37"/>
    <w:rsid w:val="00E51332"/>
    <w:rsid w:val="00E51ED0"/>
    <w:rsid w:val="00E52155"/>
    <w:rsid w:val="00E521A8"/>
    <w:rsid w:val="00E57A77"/>
    <w:rsid w:val="00E57FF6"/>
    <w:rsid w:val="00E64DCF"/>
    <w:rsid w:val="00E6669D"/>
    <w:rsid w:val="00E70303"/>
    <w:rsid w:val="00E73629"/>
    <w:rsid w:val="00E752CC"/>
    <w:rsid w:val="00E76553"/>
    <w:rsid w:val="00E80027"/>
    <w:rsid w:val="00E838B3"/>
    <w:rsid w:val="00E83FC8"/>
    <w:rsid w:val="00E869CB"/>
    <w:rsid w:val="00E93F04"/>
    <w:rsid w:val="00EA1CF1"/>
    <w:rsid w:val="00EA78B2"/>
    <w:rsid w:val="00EB16A0"/>
    <w:rsid w:val="00EB73D7"/>
    <w:rsid w:val="00EC440D"/>
    <w:rsid w:val="00ED4B89"/>
    <w:rsid w:val="00EE2788"/>
    <w:rsid w:val="00EE37C0"/>
    <w:rsid w:val="00EF2C41"/>
    <w:rsid w:val="00F011C4"/>
    <w:rsid w:val="00F03EC1"/>
    <w:rsid w:val="00F27D11"/>
    <w:rsid w:val="00F425EA"/>
    <w:rsid w:val="00F44FC9"/>
    <w:rsid w:val="00F4662D"/>
    <w:rsid w:val="00F50160"/>
    <w:rsid w:val="00F5066C"/>
    <w:rsid w:val="00F53CD6"/>
    <w:rsid w:val="00F5440D"/>
    <w:rsid w:val="00F576BC"/>
    <w:rsid w:val="00F57A55"/>
    <w:rsid w:val="00F62BE3"/>
    <w:rsid w:val="00F62FC3"/>
    <w:rsid w:val="00F633B5"/>
    <w:rsid w:val="00F657F6"/>
    <w:rsid w:val="00F664C4"/>
    <w:rsid w:val="00F664FC"/>
    <w:rsid w:val="00F72D80"/>
    <w:rsid w:val="00F7422A"/>
    <w:rsid w:val="00F74EAB"/>
    <w:rsid w:val="00F777E7"/>
    <w:rsid w:val="00F80BCB"/>
    <w:rsid w:val="00F90BF0"/>
    <w:rsid w:val="00F914B5"/>
    <w:rsid w:val="00F91BF4"/>
    <w:rsid w:val="00F92E85"/>
    <w:rsid w:val="00F94FA5"/>
    <w:rsid w:val="00F961B8"/>
    <w:rsid w:val="00FA1FCB"/>
    <w:rsid w:val="00FA22AE"/>
    <w:rsid w:val="00FA5AEA"/>
    <w:rsid w:val="00FA7F40"/>
    <w:rsid w:val="00FB1245"/>
    <w:rsid w:val="00FC0D7D"/>
    <w:rsid w:val="00FC4161"/>
    <w:rsid w:val="00FD15AD"/>
    <w:rsid w:val="00FD5831"/>
    <w:rsid w:val="00FE0CFE"/>
    <w:rsid w:val="00FE1E68"/>
    <w:rsid w:val="00FE273A"/>
    <w:rsid w:val="00FE58EA"/>
    <w:rsid w:val="00FE7536"/>
    <w:rsid w:val="00FF0858"/>
    <w:rsid w:val="00FF3DA7"/>
    <w:rsid w:val="00FF5CD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D4BA"/>
  <w15:chartTrackingRefBased/>
  <w15:docId w15:val="{2908108F-605A-6B43-8B48-7532ED56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E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17F7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bidi="en-US"/>
    </w:rPr>
  </w:style>
  <w:style w:type="paragraph" w:styleId="Heading5">
    <w:name w:val="heading 5"/>
    <w:basedOn w:val="Normal"/>
    <w:next w:val="Normal"/>
    <w:link w:val="Heading5Char"/>
    <w:uiPriority w:val="9"/>
    <w:semiHidden/>
    <w:unhideWhenUsed/>
    <w:qFormat/>
    <w:rsid w:val="00C71C70"/>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99E"/>
    <w:pPr>
      <w:ind w:left="720"/>
      <w:contextualSpacing/>
    </w:pPr>
    <w:rPr>
      <w:rFonts w:asciiTheme="minorHAnsi" w:eastAsiaTheme="minorHAnsi" w:hAnsiTheme="minorHAnsi" w:cstheme="minorBidi"/>
      <w:lang w:val="it-IT" w:eastAsia="en-US"/>
    </w:rPr>
  </w:style>
  <w:style w:type="paragraph" w:styleId="EndnoteText">
    <w:name w:val="endnote text"/>
    <w:basedOn w:val="Normal"/>
    <w:link w:val="EndnoteTextChar"/>
    <w:uiPriority w:val="99"/>
    <w:unhideWhenUsed/>
    <w:rsid w:val="0094465B"/>
    <w:rPr>
      <w:sz w:val="20"/>
      <w:szCs w:val="20"/>
    </w:rPr>
  </w:style>
  <w:style w:type="character" w:customStyle="1" w:styleId="EndnoteTextChar">
    <w:name w:val="Endnote Text Char"/>
    <w:basedOn w:val="DefaultParagraphFont"/>
    <w:link w:val="EndnoteText"/>
    <w:uiPriority w:val="99"/>
    <w:rsid w:val="0094465B"/>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94465B"/>
    <w:rPr>
      <w:vertAlign w:val="superscript"/>
    </w:rPr>
  </w:style>
  <w:style w:type="paragraph" w:styleId="FootnoteText">
    <w:name w:val="footnote text"/>
    <w:basedOn w:val="Normal"/>
    <w:link w:val="FootnoteTextChar"/>
    <w:uiPriority w:val="99"/>
    <w:unhideWhenUsed/>
    <w:rsid w:val="001E541A"/>
    <w:rPr>
      <w:rFonts w:asciiTheme="minorHAnsi" w:eastAsiaTheme="minorHAnsi" w:hAnsiTheme="minorHAnsi" w:cstheme="minorBidi"/>
      <w:sz w:val="20"/>
      <w:szCs w:val="20"/>
      <w:lang w:val="it-IT" w:eastAsia="en-US"/>
    </w:rPr>
  </w:style>
  <w:style w:type="character" w:customStyle="1" w:styleId="FootnoteTextChar">
    <w:name w:val="Footnote Text Char"/>
    <w:basedOn w:val="DefaultParagraphFont"/>
    <w:link w:val="FootnoteText"/>
    <w:uiPriority w:val="99"/>
    <w:rsid w:val="001E541A"/>
    <w:rPr>
      <w:sz w:val="20"/>
      <w:szCs w:val="20"/>
      <w:lang w:val="it-IT"/>
    </w:rPr>
  </w:style>
  <w:style w:type="character" w:styleId="FootnoteReference">
    <w:name w:val="footnote reference"/>
    <w:basedOn w:val="DefaultParagraphFont"/>
    <w:uiPriority w:val="99"/>
    <w:semiHidden/>
    <w:unhideWhenUsed/>
    <w:rsid w:val="001E541A"/>
    <w:rPr>
      <w:vertAlign w:val="superscript"/>
    </w:rPr>
  </w:style>
  <w:style w:type="table" w:styleId="TableGrid">
    <w:name w:val="Table Grid"/>
    <w:basedOn w:val="TableNormal"/>
    <w:uiPriority w:val="39"/>
    <w:rsid w:val="001E541A"/>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7F71"/>
    <w:rPr>
      <w:rFonts w:asciiTheme="majorHAnsi" w:eastAsiaTheme="majorEastAsia" w:hAnsiTheme="majorHAnsi" w:cstheme="majorBidi"/>
      <w:b/>
      <w:bCs/>
      <w:color w:val="2F5496" w:themeColor="accent1" w:themeShade="BF"/>
      <w:sz w:val="28"/>
      <w:szCs w:val="28"/>
      <w:lang w:val="en-US" w:bidi="en-US"/>
    </w:rPr>
  </w:style>
  <w:style w:type="paragraph" w:customStyle="1" w:styleId="Default">
    <w:name w:val="Default"/>
    <w:rsid w:val="00A17F71"/>
    <w:pPr>
      <w:autoSpaceDE w:val="0"/>
      <w:autoSpaceDN w:val="0"/>
      <w:adjustRightInd w:val="0"/>
    </w:pPr>
    <w:rPr>
      <w:rFonts w:ascii="Calibri" w:hAnsi="Calibri" w:cs="Calibri"/>
      <w:color w:val="000000"/>
      <w:lang w:val="en-GB"/>
    </w:rPr>
  </w:style>
  <w:style w:type="paragraph" w:customStyle="1" w:styleId="msonormal0">
    <w:name w:val="msonormal"/>
    <w:basedOn w:val="Normal"/>
    <w:rsid w:val="00A17F71"/>
    <w:pPr>
      <w:spacing w:before="100" w:beforeAutospacing="1" w:after="100" w:afterAutospacing="1"/>
    </w:pPr>
  </w:style>
  <w:style w:type="paragraph" w:styleId="NormalWeb">
    <w:name w:val="Normal (Web)"/>
    <w:basedOn w:val="Normal"/>
    <w:uiPriority w:val="99"/>
    <w:unhideWhenUsed/>
    <w:rsid w:val="00A17F71"/>
    <w:pPr>
      <w:spacing w:before="100" w:beforeAutospacing="1" w:after="100" w:afterAutospacing="1"/>
    </w:pPr>
  </w:style>
  <w:style w:type="character" w:customStyle="1" w:styleId="apple-converted-space">
    <w:name w:val="apple-converted-space"/>
    <w:basedOn w:val="DefaultParagraphFont"/>
    <w:rsid w:val="00A17F71"/>
  </w:style>
  <w:style w:type="character" w:styleId="CommentReference">
    <w:name w:val="annotation reference"/>
    <w:basedOn w:val="DefaultParagraphFont"/>
    <w:uiPriority w:val="99"/>
    <w:semiHidden/>
    <w:unhideWhenUsed/>
    <w:rsid w:val="00A17F71"/>
    <w:rPr>
      <w:sz w:val="16"/>
      <w:szCs w:val="16"/>
    </w:rPr>
  </w:style>
  <w:style w:type="paragraph" w:styleId="CommentText">
    <w:name w:val="annotation text"/>
    <w:basedOn w:val="Normal"/>
    <w:link w:val="CommentTextChar"/>
    <w:uiPriority w:val="99"/>
    <w:unhideWhenUsed/>
    <w:rsid w:val="00A17F71"/>
    <w:rPr>
      <w:rFonts w:asciiTheme="minorHAnsi" w:eastAsiaTheme="minorEastAsia"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A17F71"/>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17F71"/>
    <w:rPr>
      <w:b/>
      <w:bCs/>
    </w:rPr>
  </w:style>
  <w:style w:type="character" w:customStyle="1" w:styleId="CommentSubjectChar">
    <w:name w:val="Comment Subject Char"/>
    <w:basedOn w:val="CommentTextChar"/>
    <w:link w:val="CommentSubject"/>
    <w:uiPriority w:val="99"/>
    <w:semiHidden/>
    <w:rsid w:val="00A17F71"/>
    <w:rPr>
      <w:rFonts w:eastAsiaTheme="minorEastAsia"/>
      <w:b/>
      <w:bCs/>
      <w:sz w:val="20"/>
      <w:szCs w:val="20"/>
      <w:lang w:val="en-GB"/>
    </w:rPr>
  </w:style>
  <w:style w:type="paragraph" w:styleId="Revision">
    <w:name w:val="Revision"/>
    <w:hidden/>
    <w:uiPriority w:val="99"/>
    <w:semiHidden/>
    <w:rsid w:val="00A17F71"/>
    <w:rPr>
      <w:lang w:val="en-GB"/>
    </w:rPr>
  </w:style>
  <w:style w:type="character" w:styleId="Hyperlink">
    <w:name w:val="Hyperlink"/>
    <w:basedOn w:val="DefaultParagraphFont"/>
    <w:uiPriority w:val="99"/>
    <w:unhideWhenUsed/>
    <w:rsid w:val="00A17F71"/>
    <w:rPr>
      <w:color w:val="0563C1" w:themeColor="hyperlink"/>
      <w:u w:val="single"/>
    </w:rPr>
  </w:style>
  <w:style w:type="paragraph" w:styleId="Footer">
    <w:name w:val="footer"/>
    <w:basedOn w:val="Normal"/>
    <w:link w:val="FooterChar"/>
    <w:uiPriority w:val="99"/>
    <w:unhideWhenUsed/>
    <w:rsid w:val="00A17F71"/>
    <w:pPr>
      <w:tabs>
        <w:tab w:val="center" w:pos="4513"/>
        <w:tab w:val="right" w:pos="9026"/>
      </w:tabs>
    </w:pPr>
    <w:rPr>
      <w:rFonts w:asciiTheme="minorHAnsi" w:eastAsiaTheme="minorEastAsia" w:hAnsiTheme="minorHAnsi" w:cstheme="minorBidi"/>
      <w:lang w:val="en-GB" w:eastAsia="en-US"/>
    </w:rPr>
  </w:style>
  <w:style w:type="character" w:customStyle="1" w:styleId="FooterChar">
    <w:name w:val="Footer Char"/>
    <w:basedOn w:val="DefaultParagraphFont"/>
    <w:link w:val="Footer"/>
    <w:uiPriority w:val="99"/>
    <w:rsid w:val="00A17F71"/>
    <w:rPr>
      <w:rFonts w:eastAsiaTheme="minorEastAsia"/>
      <w:lang w:val="en-GB"/>
    </w:rPr>
  </w:style>
  <w:style w:type="character" w:styleId="PageNumber">
    <w:name w:val="page number"/>
    <w:basedOn w:val="DefaultParagraphFont"/>
    <w:uiPriority w:val="99"/>
    <w:semiHidden/>
    <w:unhideWhenUsed/>
    <w:rsid w:val="00A17F71"/>
  </w:style>
  <w:style w:type="paragraph" w:styleId="Header">
    <w:name w:val="header"/>
    <w:basedOn w:val="Normal"/>
    <w:link w:val="HeaderChar"/>
    <w:uiPriority w:val="99"/>
    <w:unhideWhenUsed/>
    <w:rsid w:val="00A17F71"/>
    <w:pPr>
      <w:tabs>
        <w:tab w:val="center" w:pos="4513"/>
        <w:tab w:val="right" w:pos="9026"/>
      </w:tabs>
    </w:pPr>
    <w:rPr>
      <w:rFonts w:asciiTheme="minorHAnsi" w:eastAsiaTheme="minorEastAsia" w:hAnsiTheme="minorHAnsi" w:cstheme="minorBidi"/>
      <w:lang w:val="en-GB" w:eastAsia="en-US"/>
    </w:rPr>
  </w:style>
  <w:style w:type="character" w:customStyle="1" w:styleId="HeaderChar">
    <w:name w:val="Header Char"/>
    <w:basedOn w:val="DefaultParagraphFont"/>
    <w:link w:val="Header"/>
    <w:uiPriority w:val="99"/>
    <w:rsid w:val="00A17F71"/>
    <w:rPr>
      <w:rFonts w:eastAsiaTheme="minorEastAsia"/>
      <w:lang w:val="en-GB"/>
    </w:rPr>
  </w:style>
  <w:style w:type="paragraph" w:styleId="Bibliography">
    <w:name w:val="Bibliography"/>
    <w:basedOn w:val="Normal"/>
    <w:next w:val="Normal"/>
    <w:uiPriority w:val="37"/>
    <w:unhideWhenUsed/>
    <w:rsid w:val="00A17F71"/>
    <w:pPr>
      <w:ind w:left="720" w:hanging="720"/>
    </w:pPr>
    <w:rPr>
      <w:rFonts w:asciiTheme="minorHAnsi" w:eastAsiaTheme="minorEastAsia" w:hAnsiTheme="minorHAnsi" w:cstheme="minorBidi"/>
      <w:lang w:val="en-GB" w:eastAsia="en-US"/>
    </w:rPr>
  </w:style>
  <w:style w:type="character" w:customStyle="1" w:styleId="UnresolvedMention1">
    <w:name w:val="Unresolved Mention1"/>
    <w:basedOn w:val="DefaultParagraphFont"/>
    <w:uiPriority w:val="99"/>
    <w:semiHidden/>
    <w:unhideWhenUsed/>
    <w:rsid w:val="00A17F71"/>
    <w:rPr>
      <w:color w:val="605E5C"/>
      <w:shd w:val="clear" w:color="auto" w:fill="E1DFDD"/>
    </w:rPr>
  </w:style>
  <w:style w:type="character" w:customStyle="1" w:styleId="Heading5Char">
    <w:name w:val="Heading 5 Char"/>
    <w:basedOn w:val="DefaultParagraphFont"/>
    <w:link w:val="Heading5"/>
    <w:uiPriority w:val="9"/>
    <w:semiHidden/>
    <w:rsid w:val="00C71C70"/>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C71C70"/>
    <w:rPr>
      <w:color w:val="954F72" w:themeColor="followedHyperlink"/>
      <w:u w:val="single"/>
    </w:rPr>
  </w:style>
  <w:style w:type="paragraph" w:styleId="BalloonText">
    <w:name w:val="Balloon Text"/>
    <w:basedOn w:val="Normal"/>
    <w:link w:val="BalloonTextChar"/>
    <w:uiPriority w:val="99"/>
    <w:semiHidden/>
    <w:unhideWhenUsed/>
    <w:rsid w:val="00755DEF"/>
    <w:rPr>
      <w:sz w:val="18"/>
      <w:szCs w:val="18"/>
    </w:rPr>
  </w:style>
  <w:style w:type="character" w:customStyle="1" w:styleId="BalloonTextChar">
    <w:name w:val="Balloon Text Char"/>
    <w:basedOn w:val="DefaultParagraphFont"/>
    <w:link w:val="BalloonText"/>
    <w:uiPriority w:val="99"/>
    <w:semiHidden/>
    <w:rsid w:val="00755DEF"/>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6083">
      <w:bodyDiv w:val="1"/>
      <w:marLeft w:val="0"/>
      <w:marRight w:val="0"/>
      <w:marTop w:val="0"/>
      <w:marBottom w:val="0"/>
      <w:divBdr>
        <w:top w:val="none" w:sz="0" w:space="0" w:color="auto"/>
        <w:left w:val="none" w:sz="0" w:space="0" w:color="auto"/>
        <w:bottom w:val="none" w:sz="0" w:space="0" w:color="auto"/>
        <w:right w:val="none" w:sz="0" w:space="0" w:color="auto"/>
      </w:divBdr>
    </w:div>
    <w:div w:id="50543588">
      <w:bodyDiv w:val="1"/>
      <w:marLeft w:val="0"/>
      <w:marRight w:val="0"/>
      <w:marTop w:val="0"/>
      <w:marBottom w:val="0"/>
      <w:divBdr>
        <w:top w:val="none" w:sz="0" w:space="0" w:color="auto"/>
        <w:left w:val="none" w:sz="0" w:space="0" w:color="auto"/>
        <w:bottom w:val="none" w:sz="0" w:space="0" w:color="auto"/>
        <w:right w:val="none" w:sz="0" w:space="0" w:color="auto"/>
      </w:divBdr>
    </w:div>
    <w:div w:id="77143609">
      <w:bodyDiv w:val="1"/>
      <w:marLeft w:val="0"/>
      <w:marRight w:val="0"/>
      <w:marTop w:val="0"/>
      <w:marBottom w:val="0"/>
      <w:divBdr>
        <w:top w:val="none" w:sz="0" w:space="0" w:color="auto"/>
        <w:left w:val="none" w:sz="0" w:space="0" w:color="auto"/>
        <w:bottom w:val="none" w:sz="0" w:space="0" w:color="auto"/>
        <w:right w:val="none" w:sz="0" w:space="0" w:color="auto"/>
      </w:divBdr>
    </w:div>
    <w:div w:id="88702611">
      <w:bodyDiv w:val="1"/>
      <w:marLeft w:val="0"/>
      <w:marRight w:val="0"/>
      <w:marTop w:val="0"/>
      <w:marBottom w:val="0"/>
      <w:divBdr>
        <w:top w:val="none" w:sz="0" w:space="0" w:color="auto"/>
        <w:left w:val="none" w:sz="0" w:space="0" w:color="auto"/>
        <w:bottom w:val="none" w:sz="0" w:space="0" w:color="auto"/>
        <w:right w:val="none" w:sz="0" w:space="0" w:color="auto"/>
      </w:divBdr>
    </w:div>
    <w:div w:id="97455417">
      <w:bodyDiv w:val="1"/>
      <w:marLeft w:val="0"/>
      <w:marRight w:val="0"/>
      <w:marTop w:val="0"/>
      <w:marBottom w:val="0"/>
      <w:divBdr>
        <w:top w:val="none" w:sz="0" w:space="0" w:color="auto"/>
        <w:left w:val="none" w:sz="0" w:space="0" w:color="auto"/>
        <w:bottom w:val="none" w:sz="0" w:space="0" w:color="auto"/>
        <w:right w:val="none" w:sz="0" w:space="0" w:color="auto"/>
      </w:divBdr>
    </w:div>
    <w:div w:id="193270843">
      <w:bodyDiv w:val="1"/>
      <w:marLeft w:val="0"/>
      <w:marRight w:val="0"/>
      <w:marTop w:val="0"/>
      <w:marBottom w:val="0"/>
      <w:divBdr>
        <w:top w:val="none" w:sz="0" w:space="0" w:color="auto"/>
        <w:left w:val="none" w:sz="0" w:space="0" w:color="auto"/>
        <w:bottom w:val="none" w:sz="0" w:space="0" w:color="auto"/>
        <w:right w:val="none" w:sz="0" w:space="0" w:color="auto"/>
      </w:divBdr>
    </w:div>
    <w:div w:id="195001573">
      <w:bodyDiv w:val="1"/>
      <w:marLeft w:val="0"/>
      <w:marRight w:val="0"/>
      <w:marTop w:val="0"/>
      <w:marBottom w:val="0"/>
      <w:divBdr>
        <w:top w:val="none" w:sz="0" w:space="0" w:color="auto"/>
        <w:left w:val="none" w:sz="0" w:space="0" w:color="auto"/>
        <w:bottom w:val="none" w:sz="0" w:space="0" w:color="auto"/>
        <w:right w:val="none" w:sz="0" w:space="0" w:color="auto"/>
      </w:divBdr>
      <w:divsChild>
        <w:div w:id="665010599">
          <w:marLeft w:val="0"/>
          <w:marRight w:val="0"/>
          <w:marTop w:val="0"/>
          <w:marBottom w:val="0"/>
          <w:divBdr>
            <w:top w:val="none" w:sz="0" w:space="0" w:color="auto"/>
            <w:left w:val="none" w:sz="0" w:space="0" w:color="auto"/>
            <w:bottom w:val="none" w:sz="0" w:space="0" w:color="auto"/>
            <w:right w:val="none" w:sz="0" w:space="0" w:color="auto"/>
          </w:divBdr>
          <w:divsChild>
            <w:div w:id="196084040">
              <w:marLeft w:val="0"/>
              <w:marRight w:val="0"/>
              <w:marTop w:val="0"/>
              <w:marBottom w:val="0"/>
              <w:divBdr>
                <w:top w:val="none" w:sz="0" w:space="0" w:color="auto"/>
                <w:left w:val="none" w:sz="0" w:space="0" w:color="auto"/>
                <w:bottom w:val="none" w:sz="0" w:space="0" w:color="auto"/>
                <w:right w:val="none" w:sz="0" w:space="0" w:color="auto"/>
              </w:divBdr>
              <w:divsChild>
                <w:div w:id="221016492">
                  <w:marLeft w:val="0"/>
                  <w:marRight w:val="0"/>
                  <w:marTop w:val="0"/>
                  <w:marBottom w:val="0"/>
                  <w:divBdr>
                    <w:top w:val="none" w:sz="0" w:space="0" w:color="auto"/>
                    <w:left w:val="none" w:sz="0" w:space="0" w:color="auto"/>
                    <w:bottom w:val="none" w:sz="0" w:space="0" w:color="auto"/>
                    <w:right w:val="none" w:sz="0" w:space="0" w:color="auto"/>
                  </w:divBdr>
                  <w:divsChild>
                    <w:div w:id="482357882">
                      <w:marLeft w:val="0"/>
                      <w:marRight w:val="0"/>
                      <w:marTop w:val="0"/>
                      <w:marBottom w:val="0"/>
                      <w:divBdr>
                        <w:top w:val="single" w:sz="6" w:space="8" w:color="DCDCDC"/>
                        <w:left w:val="single" w:sz="6" w:space="8" w:color="DCDCDC"/>
                        <w:bottom w:val="single" w:sz="6" w:space="8" w:color="DCDCDC"/>
                        <w:right w:val="single" w:sz="6" w:space="8" w:color="DCDCDC"/>
                      </w:divBdr>
                      <w:divsChild>
                        <w:div w:id="1413887668">
                          <w:marLeft w:val="0"/>
                          <w:marRight w:val="0"/>
                          <w:marTop w:val="0"/>
                          <w:marBottom w:val="0"/>
                          <w:divBdr>
                            <w:top w:val="none" w:sz="0" w:space="0" w:color="auto"/>
                            <w:left w:val="none" w:sz="0" w:space="0" w:color="auto"/>
                            <w:bottom w:val="none" w:sz="0" w:space="0" w:color="auto"/>
                            <w:right w:val="none" w:sz="0" w:space="0" w:color="auto"/>
                          </w:divBdr>
                          <w:divsChild>
                            <w:div w:id="8550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261761">
          <w:marLeft w:val="0"/>
          <w:marRight w:val="0"/>
          <w:marTop w:val="0"/>
          <w:marBottom w:val="0"/>
          <w:divBdr>
            <w:top w:val="none" w:sz="0" w:space="0" w:color="auto"/>
            <w:left w:val="none" w:sz="0" w:space="0" w:color="auto"/>
            <w:bottom w:val="none" w:sz="0" w:space="0" w:color="auto"/>
            <w:right w:val="none" w:sz="0" w:space="0" w:color="auto"/>
          </w:divBdr>
          <w:divsChild>
            <w:div w:id="938754127">
              <w:marLeft w:val="0"/>
              <w:marRight w:val="0"/>
              <w:marTop w:val="0"/>
              <w:marBottom w:val="0"/>
              <w:divBdr>
                <w:top w:val="none" w:sz="0" w:space="0" w:color="auto"/>
                <w:left w:val="none" w:sz="0" w:space="0" w:color="auto"/>
                <w:bottom w:val="none" w:sz="0" w:space="0" w:color="auto"/>
                <w:right w:val="none" w:sz="0" w:space="0" w:color="auto"/>
              </w:divBdr>
              <w:divsChild>
                <w:div w:id="930431190">
                  <w:marLeft w:val="0"/>
                  <w:marRight w:val="300"/>
                  <w:marTop w:val="0"/>
                  <w:marBottom w:val="0"/>
                  <w:divBdr>
                    <w:top w:val="none" w:sz="0" w:space="0" w:color="auto"/>
                    <w:left w:val="none" w:sz="0" w:space="0" w:color="auto"/>
                    <w:bottom w:val="none" w:sz="0" w:space="0" w:color="auto"/>
                    <w:right w:val="none" w:sz="0" w:space="0" w:color="auto"/>
                  </w:divBdr>
                </w:div>
                <w:div w:id="2071732715">
                  <w:marLeft w:val="0"/>
                  <w:marRight w:val="0"/>
                  <w:marTop w:val="0"/>
                  <w:marBottom w:val="0"/>
                  <w:divBdr>
                    <w:top w:val="none" w:sz="0" w:space="0" w:color="auto"/>
                    <w:left w:val="none" w:sz="0" w:space="0" w:color="auto"/>
                    <w:bottom w:val="none" w:sz="0" w:space="0" w:color="auto"/>
                    <w:right w:val="none" w:sz="0" w:space="0" w:color="auto"/>
                  </w:divBdr>
                </w:div>
              </w:divsChild>
            </w:div>
            <w:div w:id="882445056">
              <w:marLeft w:val="0"/>
              <w:marRight w:val="0"/>
              <w:marTop w:val="0"/>
              <w:marBottom w:val="0"/>
              <w:divBdr>
                <w:top w:val="none" w:sz="0" w:space="0" w:color="auto"/>
                <w:left w:val="none" w:sz="0" w:space="0" w:color="auto"/>
                <w:bottom w:val="none" w:sz="0" w:space="0" w:color="auto"/>
                <w:right w:val="none" w:sz="0" w:space="0" w:color="auto"/>
              </w:divBdr>
              <w:divsChild>
                <w:div w:id="1283731804">
                  <w:marLeft w:val="0"/>
                  <w:marRight w:val="0"/>
                  <w:marTop w:val="0"/>
                  <w:marBottom w:val="0"/>
                  <w:divBdr>
                    <w:top w:val="none" w:sz="0" w:space="0" w:color="auto"/>
                    <w:left w:val="none" w:sz="0" w:space="0" w:color="auto"/>
                    <w:bottom w:val="none" w:sz="0" w:space="0" w:color="auto"/>
                    <w:right w:val="none" w:sz="0" w:space="0" w:color="auto"/>
                  </w:divBdr>
                  <w:divsChild>
                    <w:div w:id="98921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2791718">
      <w:bodyDiv w:val="1"/>
      <w:marLeft w:val="0"/>
      <w:marRight w:val="0"/>
      <w:marTop w:val="0"/>
      <w:marBottom w:val="0"/>
      <w:divBdr>
        <w:top w:val="none" w:sz="0" w:space="0" w:color="auto"/>
        <w:left w:val="none" w:sz="0" w:space="0" w:color="auto"/>
        <w:bottom w:val="none" w:sz="0" w:space="0" w:color="auto"/>
        <w:right w:val="none" w:sz="0" w:space="0" w:color="auto"/>
      </w:divBdr>
    </w:div>
    <w:div w:id="314993460">
      <w:bodyDiv w:val="1"/>
      <w:marLeft w:val="0"/>
      <w:marRight w:val="0"/>
      <w:marTop w:val="0"/>
      <w:marBottom w:val="0"/>
      <w:divBdr>
        <w:top w:val="none" w:sz="0" w:space="0" w:color="auto"/>
        <w:left w:val="none" w:sz="0" w:space="0" w:color="auto"/>
        <w:bottom w:val="none" w:sz="0" w:space="0" w:color="auto"/>
        <w:right w:val="none" w:sz="0" w:space="0" w:color="auto"/>
      </w:divBdr>
    </w:div>
    <w:div w:id="320083178">
      <w:bodyDiv w:val="1"/>
      <w:marLeft w:val="0"/>
      <w:marRight w:val="0"/>
      <w:marTop w:val="0"/>
      <w:marBottom w:val="0"/>
      <w:divBdr>
        <w:top w:val="none" w:sz="0" w:space="0" w:color="auto"/>
        <w:left w:val="none" w:sz="0" w:space="0" w:color="auto"/>
        <w:bottom w:val="none" w:sz="0" w:space="0" w:color="auto"/>
        <w:right w:val="none" w:sz="0" w:space="0" w:color="auto"/>
      </w:divBdr>
    </w:div>
    <w:div w:id="354812803">
      <w:bodyDiv w:val="1"/>
      <w:marLeft w:val="0"/>
      <w:marRight w:val="0"/>
      <w:marTop w:val="0"/>
      <w:marBottom w:val="0"/>
      <w:divBdr>
        <w:top w:val="none" w:sz="0" w:space="0" w:color="auto"/>
        <w:left w:val="none" w:sz="0" w:space="0" w:color="auto"/>
        <w:bottom w:val="none" w:sz="0" w:space="0" w:color="auto"/>
        <w:right w:val="none" w:sz="0" w:space="0" w:color="auto"/>
      </w:divBdr>
    </w:div>
    <w:div w:id="363020372">
      <w:bodyDiv w:val="1"/>
      <w:marLeft w:val="0"/>
      <w:marRight w:val="0"/>
      <w:marTop w:val="0"/>
      <w:marBottom w:val="0"/>
      <w:divBdr>
        <w:top w:val="none" w:sz="0" w:space="0" w:color="auto"/>
        <w:left w:val="none" w:sz="0" w:space="0" w:color="auto"/>
        <w:bottom w:val="none" w:sz="0" w:space="0" w:color="auto"/>
        <w:right w:val="none" w:sz="0" w:space="0" w:color="auto"/>
      </w:divBdr>
    </w:div>
    <w:div w:id="415979595">
      <w:bodyDiv w:val="1"/>
      <w:marLeft w:val="0"/>
      <w:marRight w:val="0"/>
      <w:marTop w:val="0"/>
      <w:marBottom w:val="0"/>
      <w:divBdr>
        <w:top w:val="none" w:sz="0" w:space="0" w:color="auto"/>
        <w:left w:val="none" w:sz="0" w:space="0" w:color="auto"/>
        <w:bottom w:val="none" w:sz="0" w:space="0" w:color="auto"/>
        <w:right w:val="none" w:sz="0" w:space="0" w:color="auto"/>
      </w:divBdr>
    </w:div>
    <w:div w:id="455762627">
      <w:bodyDiv w:val="1"/>
      <w:marLeft w:val="0"/>
      <w:marRight w:val="0"/>
      <w:marTop w:val="0"/>
      <w:marBottom w:val="0"/>
      <w:divBdr>
        <w:top w:val="none" w:sz="0" w:space="0" w:color="auto"/>
        <w:left w:val="none" w:sz="0" w:space="0" w:color="auto"/>
        <w:bottom w:val="none" w:sz="0" w:space="0" w:color="auto"/>
        <w:right w:val="none" w:sz="0" w:space="0" w:color="auto"/>
      </w:divBdr>
    </w:div>
    <w:div w:id="472214562">
      <w:bodyDiv w:val="1"/>
      <w:marLeft w:val="0"/>
      <w:marRight w:val="0"/>
      <w:marTop w:val="0"/>
      <w:marBottom w:val="0"/>
      <w:divBdr>
        <w:top w:val="none" w:sz="0" w:space="0" w:color="auto"/>
        <w:left w:val="none" w:sz="0" w:space="0" w:color="auto"/>
        <w:bottom w:val="none" w:sz="0" w:space="0" w:color="auto"/>
        <w:right w:val="none" w:sz="0" w:space="0" w:color="auto"/>
      </w:divBdr>
      <w:divsChild>
        <w:div w:id="287204897">
          <w:marLeft w:val="0"/>
          <w:marRight w:val="0"/>
          <w:marTop w:val="0"/>
          <w:marBottom w:val="0"/>
          <w:divBdr>
            <w:top w:val="none" w:sz="0" w:space="0" w:color="auto"/>
            <w:left w:val="none" w:sz="0" w:space="0" w:color="auto"/>
            <w:bottom w:val="none" w:sz="0" w:space="0" w:color="auto"/>
            <w:right w:val="none" w:sz="0" w:space="0" w:color="auto"/>
          </w:divBdr>
          <w:divsChild>
            <w:div w:id="1149439641">
              <w:marLeft w:val="0"/>
              <w:marRight w:val="0"/>
              <w:marTop w:val="0"/>
              <w:marBottom w:val="0"/>
              <w:divBdr>
                <w:top w:val="none" w:sz="0" w:space="0" w:color="auto"/>
                <w:left w:val="none" w:sz="0" w:space="0" w:color="auto"/>
                <w:bottom w:val="none" w:sz="0" w:space="0" w:color="auto"/>
                <w:right w:val="none" w:sz="0" w:space="0" w:color="auto"/>
              </w:divBdr>
              <w:divsChild>
                <w:div w:id="12267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9109">
      <w:bodyDiv w:val="1"/>
      <w:marLeft w:val="0"/>
      <w:marRight w:val="0"/>
      <w:marTop w:val="0"/>
      <w:marBottom w:val="0"/>
      <w:divBdr>
        <w:top w:val="none" w:sz="0" w:space="0" w:color="auto"/>
        <w:left w:val="none" w:sz="0" w:space="0" w:color="auto"/>
        <w:bottom w:val="none" w:sz="0" w:space="0" w:color="auto"/>
        <w:right w:val="none" w:sz="0" w:space="0" w:color="auto"/>
      </w:divBdr>
    </w:div>
    <w:div w:id="604119412">
      <w:bodyDiv w:val="1"/>
      <w:marLeft w:val="0"/>
      <w:marRight w:val="0"/>
      <w:marTop w:val="0"/>
      <w:marBottom w:val="0"/>
      <w:divBdr>
        <w:top w:val="none" w:sz="0" w:space="0" w:color="auto"/>
        <w:left w:val="none" w:sz="0" w:space="0" w:color="auto"/>
        <w:bottom w:val="none" w:sz="0" w:space="0" w:color="auto"/>
        <w:right w:val="none" w:sz="0" w:space="0" w:color="auto"/>
      </w:divBdr>
    </w:div>
    <w:div w:id="663433949">
      <w:bodyDiv w:val="1"/>
      <w:marLeft w:val="0"/>
      <w:marRight w:val="0"/>
      <w:marTop w:val="0"/>
      <w:marBottom w:val="0"/>
      <w:divBdr>
        <w:top w:val="none" w:sz="0" w:space="0" w:color="auto"/>
        <w:left w:val="none" w:sz="0" w:space="0" w:color="auto"/>
        <w:bottom w:val="none" w:sz="0" w:space="0" w:color="auto"/>
        <w:right w:val="none" w:sz="0" w:space="0" w:color="auto"/>
      </w:divBdr>
      <w:divsChild>
        <w:div w:id="1452285585">
          <w:marLeft w:val="0"/>
          <w:marRight w:val="0"/>
          <w:marTop w:val="0"/>
          <w:marBottom w:val="0"/>
          <w:divBdr>
            <w:top w:val="none" w:sz="0" w:space="0" w:color="auto"/>
            <w:left w:val="none" w:sz="0" w:space="0" w:color="auto"/>
            <w:bottom w:val="none" w:sz="0" w:space="0" w:color="auto"/>
            <w:right w:val="none" w:sz="0" w:space="0" w:color="auto"/>
          </w:divBdr>
          <w:divsChild>
            <w:div w:id="1595016965">
              <w:marLeft w:val="0"/>
              <w:marRight w:val="0"/>
              <w:marTop w:val="0"/>
              <w:marBottom w:val="0"/>
              <w:divBdr>
                <w:top w:val="none" w:sz="0" w:space="0" w:color="auto"/>
                <w:left w:val="none" w:sz="0" w:space="0" w:color="auto"/>
                <w:bottom w:val="none" w:sz="0" w:space="0" w:color="auto"/>
                <w:right w:val="none" w:sz="0" w:space="0" w:color="auto"/>
              </w:divBdr>
              <w:divsChild>
                <w:div w:id="7312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09477">
      <w:bodyDiv w:val="1"/>
      <w:marLeft w:val="0"/>
      <w:marRight w:val="0"/>
      <w:marTop w:val="0"/>
      <w:marBottom w:val="0"/>
      <w:divBdr>
        <w:top w:val="none" w:sz="0" w:space="0" w:color="auto"/>
        <w:left w:val="none" w:sz="0" w:space="0" w:color="auto"/>
        <w:bottom w:val="none" w:sz="0" w:space="0" w:color="auto"/>
        <w:right w:val="none" w:sz="0" w:space="0" w:color="auto"/>
      </w:divBdr>
      <w:divsChild>
        <w:div w:id="469519517">
          <w:marLeft w:val="0"/>
          <w:marRight w:val="0"/>
          <w:marTop w:val="75"/>
          <w:marBottom w:val="75"/>
          <w:divBdr>
            <w:top w:val="none" w:sz="0" w:space="0" w:color="auto"/>
            <w:left w:val="none" w:sz="0" w:space="0" w:color="auto"/>
            <w:bottom w:val="none" w:sz="0" w:space="0" w:color="auto"/>
            <w:right w:val="none" w:sz="0" w:space="0" w:color="auto"/>
          </w:divBdr>
        </w:div>
        <w:div w:id="1298797076">
          <w:marLeft w:val="0"/>
          <w:marRight w:val="0"/>
          <w:marTop w:val="0"/>
          <w:marBottom w:val="0"/>
          <w:divBdr>
            <w:top w:val="none" w:sz="0" w:space="0" w:color="auto"/>
            <w:left w:val="none" w:sz="0" w:space="0" w:color="auto"/>
            <w:bottom w:val="none" w:sz="0" w:space="0" w:color="auto"/>
            <w:right w:val="none" w:sz="0" w:space="0" w:color="auto"/>
          </w:divBdr>
          <w:divsChild>
            <w:div w:id="9034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56101530">
      <w:bodyDiv w:val="1"/>
      <w:marLeft w:val="0"/>
      <w:marRight w:val="0"/>
      <w:marTop w:val="0"/>
      <w:marBottom w:val="0"/>
      <w:divBdr>
        <w:top w:val="none" w:sz="0" w:space="0" w:color="auto"/>
        <w:left w:val="none" w:sz="0" w:space="0" w:color="auto"/>
        <w:bottom w:val="none" w:sz="0" w:space="0" w:color="auto"/>
        <w:right w:val="none" w:sz="0" w:space="0" w:color="auto"/>
      </w:divBdr>
      <w:divsChild>
        <w:div w:id="704066602">
          <w:marLeft w:val="225"/>
          <w:marRight w:val="0"/>
          <w:marTop w:val="0"/>
          <w:marBottom w:val="0"/>
          <w:divBdr>
            <w:top w:val="none" w:sz="0" w:space="0" w:color="auto"/>
            <w:left w:val="none" w:sz="0" w:space="0" w:color="auto"/>
            <w:bottom w:val="none" w:sz="0" w:space="0" w:color="auto"/>
            <w:right w:val="none" w:sz="0" w:space="0" w:color="auto"/>
          </w:divBdr>
        </w:div>
        <w:div w:id="1402754751">
          <w:marLeft w:val="0"/>
          <w:marRight w:val="0"/>
          <w:marTop w:val="75"/>
          <w:marBottom w:val="75"/>
          <w:divBdr>
            <w:top w:val="none" w:sz="0" w:space="0" w:color="auto"/>
            <w:left w:val="none" w:sz="0" w:space="0" w:color="auto"/>
            <w:bottom w:val="none" w:sz="0" w:space="0" w:color="auto"/>
            <w:right w:val="none" w:sz="0" w:space="0" w:color="auto"/>
          </w:divBdr>
        </w:div>
        <w:div w:id="1605335577">
          <w:marLeft w:val="0"/>
          <w:marRight w:val="0"/>
          <w:marTop w:val="0"/>
          <w:marBottom w:val="0"/>
          <w:divBdr>
            <w:top w:val="none" w:sz="0" w:space="0" w:color="auto"/>
            <w:left w:val="none" w:sz="0" w:space="0" w:color="auto"/>
            <w:bottom w:val="none" w:sz="0" w:space="0" w:color="auto"/>
            <w:right w:val="none" w:sz="0" w:space="0" w:color="auto"/>
          </w:divBdr>
          <w:divsChild>
            <w:div w:id="21347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6337">
      <w:bodyDiv w:val="1"/>
      <w:marLeft w:val="0"/>
      <w:marRight w:val="0"/>
      <w:marTop w:val="0"/>
      <w:marBottom w:val="0"/>
      <w:divBdr>
        <w:top w:val="none" w:sz="0" w:space="0" w:color="auto"/>
        <w:left w:val="none" w:sz="0" w:space="0" w:color="auto"/>
        <w:bottom w:val="none" w:sz="0" w:space="0" w:color="auto"/>
        <w:right w:val="none" w:sz="0" w:space="0" w:color="auto"/>
      </w:divBdr>
    </w:div>
    <w:div w:id="804472775">
      <w:bodyDiv w:val="1"/>
      <w:marLeft w:val="0"/>
      <w:marRight w:val="0"/>
      <w:marTop w:val="0"/>
      <w:marBottom w:val="0"/>
      <w:divBdr>
        <w:top w:val="none" w:sz="0" w:space="0" w:color="auto"/>
        <w:left w:val="none" w:sz="0" w:space="0" w:color="auto"/>
        <w:bottom w:val="none" w:sz="0" w:space="0" w:color="auto"/>
        <w:right w:val="none" w:sz="0" w:space="0" w:color="auto"/>
      </w:divBdr>
      <w:divsChild>
        <w:div w:id="1120564117">
          <w:marLeft w:val="0"/>
          <w:marRight w:val="0"/>
          <w:marTop w:val="75"/>
          <w:marBottom w:val="75"/>
          <w:divBdr>
            <w:top w:val="none" w:sz="0" w:space="0" w:color="auto"/>
            <w:left w:val="none" w:sz="0" w:space="0" w:color="auto"/>
            <w:bottom w:val="none" w:sz="0" w:space="0" w:color="auto"/>
            <w:right w:val="none" w:sz="0" w:space="0" w:color="auto"/>
          </w:divBdr>
        </w:div>
        <w:div w:id="161774088">
          <w:marLeft w:val="0"/>
          <w:marRight w:val="0"/>
          <w:marTop w:val="0"/>
          <w:marBottom w:val="0"/>
          <w:divBdr>
            <w:top w:val="none" w:sz="0" w:space="0" w:color="auto"/>
            <w:left w:val="none" w:sz="0" w:space="0" w:color="auto"/>
            <w:bottom w:val="none" w:sz="0" w:space="0" w:color="auto"/>
            <w:right w:val="none" w:sz="0" w:space="0" w:color="auto"/>
          </w:divBdr>
          <w:divsChild>
            <w:div w:id="9216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2437">
      <w:bodyDiv w:val="1"/>
      <w:marLeft w:val="0"/>
      <w:marRight w:val="0"/>
      <w:marTop w:val="0"/>
      <w:marBottom w:val="0"/>
      <w:divBdr>
        <w:top w:val="none" w:sz="0" w:space="0" w:color="auto"/>
        <w:left w:val="none" w:sz="0" w:space="0" w:color="auto"/>
        <w:bottom w:val="none" w:sz="0" w:space="0" w:color="auto"/>
        <w:right w:val="none" w:sz="0" w:space="0" w:color="auto"/>
      </w:divBdr>
    </w:div>
    <w:div w:id="829059738">
      <w:bodyDiv w:val="1"/>
      <w:marLeft w:val="0"/>
      <w:marRight w:val="0"/>
      <w:marTop w:val="0"/>
      <w:marBottom w:val="0"/>
      <w:divBdr>
        <w:top w:val="none" w:sz="0" w:space="0" w:color="auto"/>
        <w:left w:val="none" w:sz="0" w:space="0" w:color="auto"/>
        <w:bottom w:val="none" w:sz="0" w:space="0" w:color="auto"/>
        <w:right w:val="none" w:sz="0" w:space="0" w:color="auto"/>
      </w:divBdr>
      <w:divsChild>
        <w:div w:id="1573002880">
          <w:marLeft w:val="0"/>
          <w:marRight w:val="0"/>
          <w:marTop w:val="0"/>
          <w:marBottom w:val="0"/>
          <w:divBdr>
            <w:top w:val="none" w:sz="0" w:space="0" w:color="auto"/>
            <w:left w:val="none" w:sz="0" w:space="0" w:color="auto"/>
            <w:bottom w:val="none" w:sz="0" w:space="0" w:color="auto"/>
            <w:right w:val="none" w:sz="0" w:space="0" w:color="auto"/>
          </w:divBdr>
          <w:divsChild>
            <w:div w:id="1992244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227301">
      <w:bodyDiv w:val="1"/>
      <w:marLeft w:val="0"/>
      <w:marRight w:val="0"/>
      <w:marTop w:val="0"/>
      <w:marBottom w:val="0"/>
      <w:divBdr>
        <w:top w:val="none" w:sz="0" w:space="0" w:color="auto"/>
        <w:left w:val="none" w:sz="0" w:space="0" w:color="auto"/>
        <w:bottom w:val="none" w:sz="0" w:space="0" w:color="auto"/>
        <w:right w:val="none" w:sz="0" w:space="0" w:color="auto"/>
      </w:divBdr>
      <w:divsChild>
        <w:div w:id="157811503">
          <w:marLeft w:val="0"/>
          <w:marRight w:val="0"/>
          <w:marTop w:val="0"/>
          <w:marBottom w:val="0"/>
          <w:divBdr>
            <w:top w:val="none" w:sz="0" w:space="0" w:color="auto"/>
            <w:left w:val="none" w:sz="0" w:space="0" w:color="auto"/>
            <w:bottom w:val="none" w:sz="0" w:space="0" w:color="auto"/>
            <w:right w:val="none" w:sz="0" w:space="0" w:color="auto"/>
          </w:divBdr>
          <w:divsChild>
            <w:div w:id="994070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3206018">
      <w:bodyDiv w:val="1"/>
      <w:marLeft w:val="0"/>
      <w:marRight w:val="0"/>
      <w:marTop w:val="0"/>
      <w:marBottom w:val="0"/>
      <w:divBdr>
        <w:top w:val="none" w:sz="0" w:space="0" w:color="auto"/>
        <w:left w:val="none" w:sz="0" w:space="0" w:color="auto"/>
        <w:bottom w:val="none" w:sz="0" w:space="0" w:color="auto"/>
        <w:right w:val="none" w:sz="0" w:space="0" w:color="auto"/>
      </w:divBdr>
    </w:div>
    <w:div w:id="870192812">
      <w:bodyDiv w:val="1"/>
      <w:marLeft w:val="0"/>
      <w:marRight w:val="0"/>
      <w:marTop w:val="0"/>
      <w:marBottom w:val="0"/>
      <w:divBdr>
        <w:top w:val="none" w:sz="0" w:space="0" w:color="auto"/>
        <w:left w:val="none" w:sz="0" w:space="0" w:color="auto"/>
        <w:bottom w:val="none" w:sz="0" w:space="0" w:color="auto"/>
        <w:right w:val="none" w:sz="0" w:space="0" w:color="auto"/>
      </w:divBdr>
    </w:div>
    <w:div w:id="876086360">
      <w:bodyDiv w:val="1"/>
      <w:marLeft w:val="0"/>
      <w:marRight w:val="0"/>
      <w:marTop w:val="0"/>
      <w:marBottom w:val="0"/>
      <w:divBdr>
        <w:top w:val="none" w:sz="0" w:space="0" w:color="auto"/>
        <w:left w:val="none" w:sz="0" w:space="0" w:color="auto"/>
        <w:bottom w:val="none" w:sz="0" w:space="0" w:color="auto"/>
        <w:right w:val="none" w:sz="0" w:space="0" w:color="auto"/>
      </w:divBdr>
    </w:div>
    <w:div w:id="929200448">
      <w:bodyDiv w:val="1"/>
      <w:marLeft w:val="0"/>
      <w:marRight w:val="0"/>
      <w:marTop w:val="0"/>
      <w:marBottom w:val="0"/>
      <w:divBdr>
        <w:top w:val="none" w:sz="0" w:space="0" w:color="auto"/>
        <w:left w:val="none" w:sz="0" w:space="0" w:color="auto"/>
        <w:bottom w:val="none" w:sz="0" w:space="0" w:color="auto"/>
        <w:right w:val="none" w:sz="0" w:space="0" w:color="auto"/>
      </w:divBdr>
    </w:div>
    <w:div w:id="979454101">
      <w:bodyDiv w:val="1"/>
      <w:marLeft w:val="0"/>
      <w:marRight w:val="0"/>
      <w:marTop w:val="0"/>
      <w:marBottom w:val="0"/>
      <w:divBdr>
        <w:top w:val="none" w:sz="0" w:space="0" w:color="auto"/>
        <w:left w:val="none" w:sz="0" w:space="0" w:color="auto"/>
        <w:bottom w:val="none" w:sz="0" w:space="0" w:color="auto"/>
        <w:right w:val="none" w:sz="0" w:space="0" w:color="auto"/>
      </w:divBdr>
    </w:div>
    <w:div w:id="979727518">
      <w:bodyDiv w:val="1"/>
      <w:marLeft w:val="0"/>
      <w:marRight w:val="0"/>
      <w:marTop w:val="0"/>
      <w:marBottom w:val="0"/>
      <w:divBdr>
        <w:top w:val="none" w:sz="0" w:space="0" w:color="auto"/>
        <w:left w:val="none" w:sz="0" w:space="0" w:color="auto"/>
        <w:bottom w:val="none" w:sz="0" w:space="0" w:color="auto"/>
        <w:right w:val="none" w:sz="0" w:space="0" w:color="auto"/>
      </w:divBdr>
    </w:div>
    <w:div w:id="1076249272">
      <w:bodyDiv w:val="1"/>
      <w:marLeft w:val="0"/>
      <w:marRight w:val="0"/>
      <w:marTop w:val="0"/>
      <w:marBottom w:val="0"/>
      <w:divBdr>
        <w:top w:val="none" w:sz="0" w:space="0" w:color="auto"/>
        <w:left w:val="none" w:sz="0" w:space="0" w:color="auto"/>
        <w:bottom w:val="none" w:sz="0" w:space="0" w:color="auto"/>
        <w:right w:val="none" w:sz="0" w:space="0" w:color="auto"/>
      </w:divBdr>
    </w:div>
    <w:div w:id="1100223087">
      <w:bodyDiv w:val="1"/>
      <w:marLeft w:val="0"/>
      <w:marRight w:val="0"/>
      <w:marTop w:val="0"/>
      <w:marBottom w:val="0"/>
      <w:divBdr>
        <w:top w:val="none" w:sz="0" w:space="0" w:color="auto"/>
        <w:left w:val="none" w:sz="0" w:space="0" w:color="auto"/>
        <w:bottom w:val="none" w:sz="0" w:space="0" w:color="auto"/>
        <w:right w:val="none" w:sz="0" w:space="0" w:color="auto"/>
      </w:divBdr>
    </w:div>
    <w:div w:id="1196430946">
      <w:bodyDiv w:val="1"/>
      <w:marLeft w:val="0"/>
      <w:marRight w:val="0"/>
      <w:marTop w:val="0"/>
      <w:marBottom w:val="0"/>
      <w:divBdr>
        <w:top w:val="none" w:sz="0" w:space="0" w:color="auto"/>
        <w:left w:val="none" w:sz="0" w:space="0" w:color="auto"/>
        <w:bottom w:val="none" w:sz="0" w:space="0" w:color="auto"/>
        <w:right w:val="none" w:sz="0" w:space="0" w:color="auto"/>
      </w:divBdr>
    </w:div>
    <w:div w:id="1239902450">
      <w:bodyDiv w:val="1"/>
      <w:marLeft w:val="0"/>
      <w:marRight w:val="0"/>
      <w:marTop w:val="0"/>
      <w:marBottom w:val="0"/>
      <w:divBdr>
        <w:top w:val="none" w:sz="0" w:space="0" w:color="auto"/>
        <w:left w:val="none" w:sz="0" w:space="0" w:color="auto"/>
        <w:bottom w:val="none" w:sz="0" w:space="0" w:color="auto"/>
        <w:right w:val="none" w:sz="0" w:space="0" w:color="auto"/>
      </w:divBdr>
    </w:div>
    <w:div w:id="1244411814">
      <w:bodyDiv w:val="1"/>
      <w:marLeft w:val="0"/>
      <w:marRight w:val="0"/>
      <w:marTop w:val="0"/>
      <w:marBottom w:val="0"/>
      <w:divBdr>
        <w:top w:val="none" w:sz="0" w:space="0" w:color="auto"/>
        <w:left w:val="none" w:sz="0" w:space="0" w:color="auto"/>
        <w:bottom w:val="none" w:sz="0" w:space="0" w:color="auto"/>
        <w:right w:val="none" w:sz="0" w:space="0" w:color="auto"/>
      </w:divBdr>
    </w:div>
    <w:div w:id="1251230925">
      <w:bodyDiv w:val="1"/>
      <w:marLeft w:val="0"/>
      <w:marRight w:val="0"/>
      <w:marTop w:val="0"/>
      <w:marBottom w:val="0"/>
      <w:divBdr>
        <w:top w:val="none" w:sz="0" w:space="0" w:color="auto"/>
        <w:left w:val="none" w:sz="0" w:space="0" w:color="auto"/>
        <w:bottom w:val="none" w:sz="0" w:space="0" w:color="auto"/>
        <w:right w:val="none" w:sz="0" w:space="0" w:color="auto"/>
      </w:divBdr>
      <w:divsChild>
        <w:div w:id="364720870">
          <w:marLeft w:val="0"/>
          <w:marRight w:val="0"/>
          <w:marTop w:val="0"/>
          <w:marBottom w:val="0"/>
          <w:divBdr>
            <w:top w:val="none" w:sz="0" w:space="0" w:color="auto"/>
            <w:left w:val="none" w:sz="0" w:space="0" w:color="auto"/>
            <w:bottom w:val="none" w:sz="0" w:space="0" w:color="auto"/>
            <w:right w:val="none" w:sz="0" w:space="0" w:color="auto"/>
          </w:divBdr>
        </w:div>
        <w:div w:id="486634863">
          <w:marLeft w:val="0"/>
          <w:marRight w:val="0"/>
          <w:marTop w:val="0"/>
          <w:marBottom w:val="0"/>
          <w:divBdr>
            <w:top w:val="none" w:sz="0" w:space="0" w:color="auto"/>
            <w:left w:val="none" w:sz="0" w:space="0" w:color="auto"/>
            <w:bottom w:val="none" w:sz="0" w:space="0" w:color="auto"/>
            <w:right w:val="none" w:sz="0" w:space="0" w:color="auto"/>
          </w:divBdr>
          <w:divsChild>
            <w:div w:id="96600992">
              <w:marLeft w:val="0"/>
              <w:marRight w:val="0"/>
              <w:marTop w:val="0"/>
              <w:marBottom w:val="0"/>
              <w:divBdr>
                <w:top w:val="none" w:sz="0" w:space="0" w:color="auto"/>
                <w:left w:val="none" w:sz="0" w:space="0" w:color="auto"/>
                <w:bottom w:val="none" w:sz="0" w:space="0" w:color="auto"/>
                <w:right w:val="none" w:sz="0" w:space="0" w:color="auto"/>
              </w:divBdr>
              <w:divsChild>
                <w:div w:id="861741437">
                  <w:marLeft w:val="0"/>
                  <w:marRight w:val="0"/>
                  <w:marTop w:val="0"/>
                  <w:marBottom w:val="0"/>
                  <w:divBdr>
                    <w:top w:val="none" w:sz="0" w:space="0" w:color="auto"/>
                    <w:left w:val="none" w:sz="0" w:space="0" w:color="auto"/>
                    <w:bottom w:val="none" w:sz="0" w:space="0" w:color="auto"/>
                    <w:right w:val="none" w:sz="0" w:space="0" w:color="auto"/>
                  </w:divBdr>
                </w:div>
                <w:div w:id="15537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2593">
      <w:bodyDiv w:val="1"/>
      <w:marLeft w:val="0"/>
      <w:marRight w:val="0"/>
      <w:marTop w:val="0"/>
      <w:marBottom w:val="0"/>
      <w:divBdr>
        <w:top w:val="none" w:sz="0" w:space="0" w:color="auto"/>
        <w:left w:val="none" w:sz="0" w:space="0" w:color="auto"/>
        <w:bottom w:val="none" w:sz="0" w:space="0" w:color="auto"/>
        <w:right w:val="none" w:sz="0" w:space="0" w:color="auto"/>
      </w:divBdr>
    </w:div>
    <w:div w:id="1276060933">
      <w:bodyDiv w:val="1"/>
      <w:marLeft w:val="0"/>
      <w:marRight w:val="0"/>
      <w:marTop w:val="0"/>
      <w:marBottom w:val="0"/>
      <w:divBdr>
        <w:top w:val="none" w:sz="0" w:space="0" w:color="auto"/>
        <w:left w:val="none" w:sz="0" w:space="0" w:color="auto"/>
        <w:bottom w:val="none" w:sz="0" w:space="0" w:color="auto"/>
        <w:right w:val="none" w:sz="0" w:space="0" w:color="auto"/>
      </w:divBdr>
    </w:div>
    <w:div w:id="1329138700">
      <w:bodyDiv w:val="1"/>
      <w:marLeft w:val="0"/>
      <w:marRight w:val="0"/>
      <w:marTop w:val="0"/>
      <w:marBottom w:val="0"/>
      <w:divBdr>
        <w:top w:val="none" w:sz="0" w:space="0" w:color="auto"/>
        <w:left w:val="none" w:sz="0" w:space="0" w:color="auto"/>
        <w:bottom w:val="none" w:sz="0" w:space="0" w:color="auto"/>
        <w:right w:val="none" w:sz="0" w:space="0" w:color="auto"/>
      </w:divBdr>
    </w:div>
    <w:div w:id="1344237476">
      <w:bodyDiv w:val="1"/>
      <w:marLeft w:val="0"/>
      <w:marRight w:val="0"/>
      <w:marTop w:val="0"/>
      <w:marBottom w:val="0"/>
      <w:divBdr>
        <w:top w:val="none" w:sz="0" w:space="0" w:color="auto"/>
        <w:left w:val="none" w:sz="0" w:space="0" w:color="auto"/>
        <w:bottom w:val="none" w:sz="0" w:space="0" w:color="auto"/>
        <w:right w:val="none" w:sz="0" w:space="0" w:color="auto"/>
      </w:divBdr>
      <w:divsChild>
        <w:div w:id="1335300711">
          <w:marLeft w:val="0"/>
          <w:marRight w:val="0"/>
          <w:marTop w:val="75"/>
          <w:marBottom w:val="75"/>
          <w:divBdr>
            <w:top w:val="none" w:sz="0" w:space="0" w:color="auto"/>
            <w:left w:val="none" w:sz="0" w:space="0" w:color="auto"/>
            <w:bottom w:val="none" w:sz="0" w:space="0" w:color="auto"/>
            <w:right w:val="none" w:sz="0" w:space="0" w:color="auto"/>
          </w:divBdr>
        </w:div>
        <w:div w:id="405499697">
          <w:marLeft w:val="0"/>
          <w:marRight w:val="0"/>
          <w:marTop w:val="0"/>
          <w:marBottom w:val="0"/>
          <w:divBdr>
            <w:top w:val="none" w:sz="0" w:space="0" w:color="auto"/>
            <w:left w:val="none" w:sz="0" w:space="0" w:color="auto"/>
            <w:bottom w:val="none" w:sz="0" w:space="0" w:color="auto"/>
            <w:right w:val="none" w:sz="0" w:space="0" w:color="auto"/>
          </w:divBdr>
          <w:divsChild>
            <w:div w:id="1335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2885">
      <w:bodyDiv w:val="1"/>
      <w:marLeft w:val="0"/>
      <w:marRight w:val="0"/>
      <w:marTop w:val="0"/>
      <w:marBottom w:val="0"/>
      <w:divBdr>
        <w:top w:val="none" w:sz="0" w:space="0" w:color="auto"/>
        <w:left w:val="none" w:sz="0" w:space="0" w:color="auto"/>
        <w:bottom w:val="none" w:sz="0" w:space="0" w:color="auto"/>
        <w:right w:val="none" w:sz="0" w:space="0" w:color="auto"/>
      </w:divBdr>
    </w:div>
    <w:div w:id="1457483497">
      <w:bodyDiv w:val="1"/>
      <w:marLeft w:val="0"/>
      <w:marRight w:val="0"/>
      <w:marTop w:val="0"/>
      <w:marBottom w:val="0"/>
      <w:divBdr>
        <w:top w:val="none" w:sz="0" w:space="0" w:color="auto"/>
        <w:left w:val="none" w:sz="0" w:space="0" w:color="auto"/>
        <w:bottom w:val="none" w:sz="0" w:space="0" w:color="auto"/>
        <w:right w:val="none" w:sz="0" w:space="0" w:color="auto"/>
      </w:divBdr>
    </w:div>
    <w:div w:id="1470244247">
      <w:bodyDiv w:val="1"/>
      <w:marLeft w:val="0"/>
      <w:marRight w:val="0"/>
      <w:marTop w:val="0"/>
      <w:marBottom w:val="0"/>
      <w:divBdr>
        <w:top w:val="none" w:sz="0" w:space="0" w:color="auto"/>
        <w:left w:val="none" w:sz="0" w:space="0" w:color="auto"/>
        <w:bottom w:val="none" w:sz="0" w:space="0" w:color="auto"/>
        <w:right w:val="none" w:sz="0" w:space="0" w:color="auto"/>
      </w:divBdr>
    </w:div>
    <w:div w:id="1472166939">
      <w:bodyDiv w:val="1"/>
      <w:marLeft w:val="0"/>
      <w:marRight w:val="0"/>
      <w:marTop w:val="0"/>
      <w:marBottom w:val="0"/>
      <w:divBdr>
        <w:top w:val="none" w:sz="0" w:space="0" w:color="auto"/>
        <w:left w:val="none" w:sz="0" w:space="0" w:color="auto"/>
        <w:bottom w:val="none" w:sz="0" w:space="0" w:color="auto"/>
        <w:right w:val="none" w:sz="0" w:space="0" w:color="auto"/>
      </w:divBdr>
      <w:divsChild>
        <w:div w:id="261108377">
          <w:marLeft w:val="0"/>
          <w:marRight w:val="0"/>
          <w:marTop w:val="0"/>
          <w:marBottom w:val="0"/>
          <w:divBdr>
            <w:top w:val="none" w:sz="0" w:space="0" w:color="auto"/>
            <w:left w:val="none" w:sz="0" w:space="0" w:color="auto"/>
            <w:bottom w:val="none" w:sz="0" w:space="0" w:color="auto"/>
            <w:right w:val="none" w:sz="0" w:space="0" w:color="auto"/>
          </w:divBdr>
        </w:div>
        <w:div w:id="1048265538">
          <w:marLeft w:val="0"/>
          <w:marRight w:val="0"/>
          <w:marTop w:val="0"/>
          <w:marBottom w:val="0"/>
          <w:divBdr>
            <w:top w:val="none" w:sz="0" w:space="0" w:color="auto"/>
            <w:left w:val="none" w:sz="0" w:space="0" w:color="auto"/>
            <w:bottom w:val="none" w:sz="0" w:space="0" w:color="auto"/>
            <w:right w:val="none" w:sz="0" w:space="0" w:color="auto"/>
          </w:divBdr>
        </w:div>
        <w:div w:id="1749572053">
          <w:marLeft w:val="0"/>
          <w:marRight w:val="0"/>
          <w:marTop w:val="0"/>
          <w:marBottom w:val="0"/>
          <w:divBdr>
            <w:top w:val="none" w:sz="0" w:space="0" w:color="auto"/>
            <w:left w:val="none" w:sz="0" w:space="0" w:color="auto"/>
            <w:bottom w:val="none" w:sz="0" w:space="0" w:color="auto"/>
            <w:right w:val="none" w:sz="0" w:space="0" w:color="auto"/>
          </w:divBdr>
        </w:div>
      </w:divsChild>
    </w:div>
    <w:div w:id="1616012796">
      <w:bodyDiv w:val="1"/>
      <w:marLeft w:val="0"/>
      <w:marRight w:val="0"/>
      <w:marTop w:val="0"/>
      <w:marBottom w:val="0"/>
      <w:divBdr>
        <w:top w:val="none" w:sz="0" w:space="0" w:color="auto"/>
        <w:left w:val="none" w:sz="0" w:space="0" w:color="auto"/>
        <w:bottom w:val="none" w:sz="0" w:space="0" w:color="auto"/>
        <w:right w:val="none" w:sz="0" w:space="0" w:color="auto"/>
      </w:divBdr>
    </w:div>
    <w:div w:id="1671524343">
      <w:bodyDiv w:val="1"/>
      <w:marLeft w:val="0"/>
      <w:marRight w:val="0"/>
      <w:marTop w:val="0"/>
      <w:marBottom w:val="0"/>
      <w:divBdr>
        <w:top w:val="none" w:sz="0" w:space="0" w:color="auto"/>
        <w:left w:val="none" w:sz="0" w:space="0" w:color="auto"/>
        <w:bottom w:val="none" w:sz="0" w:space="0" w:color="auto"/>
        <w:right w:val="none" w:sz="0" w:space="0" w:color="auto"/>
      </w:divBdr>
    </w:div>
    <w:div w:id="1743213504">
      <w:bodyDiv w:val="1"/>
      <w:marLeft w:val="0"/>
      <w:marRight w:val="0"/>
      <w:marTop w:val="0"/>
      <w:marBottom w:val="0"/>
      <w:divBdr>
        <w:top w:val="none" w:sz="0" w:space="0" w:color="auto"/>
        <w:left w:val="none" w:sz="0" w:space="0" w:color="auto"/>
        <w:bottom w:val="none" w:sz="0" w:space="0" w:color="auto"/>
        <w:right w:val="none" w:sz="0" w:space="0" w:color="auto"/>
      </w:divBdr>
      <w:divsChild>
        <w:div w:id="2105027890">
          <w:marLeft w:val="0"/>
          <w:marRight w:val="0"/>
          <w:marTop w:val="0"/>
          <w:marBottom w:val="0"/>
          <w:divBdr>
            <w:top w:val="none" w:sz="0" w:space="0" w:color="auto"/>
            <w:left w:val="none" w:sz="0" w:space="0" w:color="auto"/>
            <w:bottom w:val="none" w:sz="0" w:space="0" w:color="auto"/>
            <w:right w:val="none" w:sz="0" w:space="0" w:color="auto"/>
          </w:divBdr>
          <w:divsChild>
            <w:div w:id="1675916893">
              <w:marLeft w:val="0"/>
              <w:marRight w:val="0"/>
              <w:marTop w:val="0"/>
              <w:marBottom w:val="0"/>
              <w:divBdr>
                <w:top w:val="none" w:sz="0" w:space="0" w:color="auto"/>
                <w:left w:val="none" w:sz="0" w:space="0" w:color="auto"/>
                <w:bottom w:val="none" w:sz="0" w:space="0" w:color="auto"/>
                <w:right w:val="none" w:sz="0" w:space="0" w:color="auto"/>
              </w:divBdr>
              <w:divsChild>
                <w:div w:id="1776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1475">
      <w:bodyDiv w:val="1"/>
      <w:marLeft w:val="0"/>
      <w:marRight w:val="0"/>
      <w:marTop w:val="0"/>
      <w:marBottom w:val="0"/>
      <w:divBdr>
        <w:top w:val="none" w:sz="0" w:space="0" w:color="auto"/>
        <w:left w:val="none" w:sz="0" w:space="0" w:color="auto"/>
        <w:bottom w:val="none" w:sz="0" w:space="0" w:color="auto"/>
        <w:right w:val="none" w:sz="0" w:space="0" w:color="auto"/>
      </w:divBdr>
    </w:div>
    <w:div w:id="1771732957">
      <w:bodyDiv w:val="1"/>
      <w:marLeft w:val="0"/>
      <w:marRight w:val="0"/>
      <w:marTop w:val="0"/>
      <w:marBottom w:val="0"/>
      <w:divBdr>
        <w:top w:val="none" w:sz="0" w:space="0" w:color="auto"/>
        <w:left w:val="none" w:sz="0" w:space="0" w:color="auto"/>
        <w:bottom w:val="none" w:sz="0" w:space="0" w:color="auto"/>
        <w:right w:val="none" w:sz="0" w:space="0" w:color="auto"/>
      </w:divBdr>
    </w:div>
    <w:div w:id="1773210247">
      <w:bodyDiv w:val="1"/>
      <w:marLeft w:val="0"/>
      <w:marRight w:val="0"/>
      <w:marTop w:val="0"/>
      <w:marBottom w:val="0"/>
      <w:divBdr>
        <w:top w:val="none" w:sz="0" w:space="0" w:color="auto"/>
        <w:left w:val="none" w:sz="0" w:space="0" w:color="auto"/>
        <w:bottom w:val="none" w:sz="0" w:space="0" w:color="auto"/>
        <w:right w:val="none" w:sz="0" w:space="0" w:color="auto"/>
      </w:divBdr>
    </w:div>
    <w:div w:id="1804075513">
      <w:bodyDiv w:val="1"/>
      <w:marLeft w:val="0"/>
      <w:marRight w:val="0"/>
      <w:marTop w:val="0"/>
      <w:marBottom w:val="0"/>
      <w:divBdr>
        <w:top w:val="none" w:sz="0" w:space="0" w:color="auto"/>
        <w:left w:val="none" w:sz="0" w:space="0" w:color="auto"/>
        <w:bottom w:val="none" w:sz="0" w:space="0" w:color="auto"/>
        <w:right w:val="none" w:sz="0" w:space="0" w:color="auto"/>
      </w:divBdr>
      <w:divsChild>
        <w:div w:id="1629893750">
          <w:marLeft w:val="0"/>
          <w:marRight w:val="0"/>
          <w:marTop w:val="75"/>
          <w:marBottom w:val="75"/>
          <w:divBdr>
            <w:top w:val="none" w:sz="0" w:space="0" w:color="auto"/>
            <w:left w:val="none" w:sz="0" w:space="0" w:color="auto"/>
            <w:bottom w:val="none" w:sz="0" w:space="0" w:color="auto"/>
            <w:right w:val="none" w:sz="0" w:space="0" w:color="auto"/>
          </w:divBdr>
        </w:div>
        <w:div w:id="739592894">
          <w:marLeft w:val="0"/>
          <w:marRight w:val="0"/>
          <w:marTop w:val="0"/>
          <w:marBottom w:val="0"/>
          <w:divBdr>
            <w:top w:val="none" w:sz="0" w:space="0" w:color="auto"/>
            <w:left w:val="none" w:sz="0" w:space="0" w:color="auto"/>
            <w:bottom w:val="none" w:sz="0" w:space="0" w:color="auto"/>
            <w:right w:val="none" w:sz="0" w:space="0" w:color="auto"/>
          </w:divBdr>
          <w:divsChild>
            <w:div w:id="9222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9998">
      <w:bodyDiv w:val="1"/>
      <w:marLeft w:val="0"/>
      <w:marRight w:val="0"/>
      <w:marTop w:val="0"/>
      <w:marBottom w:val="0"/>
      <w:divBdr>
        <w:top w:val="none" w:sz="0" w:space="0" w:color="auto"/>
        <w:left w:val="none" w:sz="0" w:space="0" w:color="auto"/>
        <w:bottom w:val="none" w:sz="0" w:space="0" w:color="auto"/>
        <w:right w:val="none" w:sz="0" w:space="0" w:color="auto"/>
      </w:divBdr>
    </w:div>
    <w:div w:id="1825707385">
      <w:bodyDiv w:val="1"/>
      <w:marLeft w:val="0"/>
      <w:marRight w:val="0"/>
      <w:marTop w:val="0"/>
      <w:marBottom w:val="0"/>
      <w:divBdr>
        <w:top w:val="none" w:sz="0" w:space="0" w:color="auto"/>
        <w:left w:val="none" w:sz="0" w:space="0" w:color="auto"/>
        <w:bottom w:val="none" w:sz="0" w:space="0" w:color="auto"/>
        <w:right w:val="none" w:sz="0" w:space="0" w:color="auto"/>
      </w:divBdr>
    </w:div>
    <w:div w:id="1846551007">
      <w:bodyDiv w:val="1"/>
      <w:marLeft w:val="0"/>
      <w:marRight w:val="0"/>
      <w:marTop w:val="0"/>
      <w:marBottom w:val="0"/>
      <w:divBdr>
        <w:top w:val="none" w:sz="0" w:space="0" w:color="auto"/>
        <w:left w:val="none" w:sz="0" w:space="0" w:color="auto"/>
        <w:bottom w:val="none" w:sz="0" w:space="0" w:color="auto"/>
        <w:right w:val="none" w:sz="0" w:space="0" w:color="auto"/>
      </w:divBdr>
    </w:div>
    <w:div w:id="1875076986">
      <w:bodyDiv w:val="1"/>
      <w:marLeft w:val="0"/>
      <w:marRight w:val="0"/>
      <w:marTop w:val="0"/>
      <w:marBottom w:val="0"/>
      <w:divBdr>
        <w:top w:val="none" w:sz="0" w:space="0" w:color="auto"/>
        <w:left w:val="none" w:sz="0" w:space="0" w:color="auto"/>
        <w:bottom w:val="none" w:sz="0" w:space="0" w:color="auto"/>
        <w:right w:val="none" w:sz="0" w:space="0" w:color="auto"/>
      </w:divBdr>
    </w:div>
    <w:div w:id="1875343663">
      <w:bodyDiv w:val="1"/>
      <w:marLeft w:val="0"/>
      <w:marRight w:val="0"/>
      <w:marTop w:val="0"/>
      <w:marBottom w:val="0"/>
      <w:divBdr>
        <w:top w:val="none" w:sz="0" w:space="0" w:color="auto"/>
        <w:left w:val="none" w:sz="0" w:space="0" w:color="auto"/>
        <w:bottom w:val="none" w:sz="0" w:space="0" w:color="auto"/>
        <w:right w:val="none" w:sz="0" w:space="0" w:color="auto"/>
      </w:divBdr>
      <w:divsChild>
        <w:div w:id="1842892194">
          <w:marLeft w:val="0"/>
          <w:marRight w:val="0"/>
          <w:marTop w:val="0"/>
          <w:marBottom w:val="0"/>
          <w:divBdr>
            <w:top w:val="none" w:sz="0" w:space="0" w:color="auto"/>
            <w:left w:val="none" w:sz="0" w:space="0" w:color="auto"/>
            <w:bottom w:val="none" w:sz="0" w:space="0" w:color="auto"/>
            <w:right w:val="none" w:sz="0" w:space="0" w:color="auto"/>
          </w:divBdr>
          <w:divsChild>
            <w:div w:id="830406949">
              <w:marLeft w:val="0"/>
              <w:marRight w:val="0"/>
              <w:marTop w:val="0"/>
              <w:marBottom w:val="0"/>
              <w:divBdr>
                <w:top w:val="none" w:sz="0" w:space="0" w:color="auto"/>
                <w:left w:val="none" w:sz="0" w:space="0" w:color="auto"/>
                <w:bottom w:val="none" w:sz="0" w:space="0" w:color="auto"/>
                <w:right w:val="none" w:sz="0" w:space="0" w:color="auto"/>
              </w:divBdr>
              <w:divsChild>
                <w:div w:id="14380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4688">
      <w:bodyDiv w:val="1"/>
      <w:marLeft w:val="0"/>
      <w:marRight w:val="0"/>
      <w:marTop w:val="0"/>
      <w:marBottom w:val="0"/>
      <w:divBdr>
        <w:top w:val="none" w:sz="0" w:space="0" w:color="auto"/>
        <w:left w:val="none" w:sz="0" w:space="0" w:color="auto"/>
        <w:bottom w:val="none" w:sz="0" w:space="0" w:color="auto"/>
        <w:right w:val="none" w:sz="0" w:space="0" w:color="auto"/>
      </w:divBdr>
    </w:div>
    <w:div w:id="1927111048">
      <w:bodyDiv w:val="1"/>
      <w:marLeft w:val="0"/>
      <w:marRight w:val="0"/>
      <w:marTop w:val="0"/>
      <w:marBottom w:val="0"/>
      <w:divBdr>
        <w:top w:val="none" w:sz="0" w:space="0" w:color="auto"/>
        <w:left w:val="none" w:sz="0" w:space="0" w:color="auto"/>
        <w:bottom w:val="none" w:sz="0" w:space="0" w:color="auto"/>
        <w:right w:val="none" w:sz="0" w:space="0" w:color="auto"/>
      </w:divBdr>
      <w:divsChild>
        <w:div w:id="1912036952">
          <w:marLeft w:val="0"/>
          <w:marRight w:val="0"/>
          <w:marTop w:val="0"/>
          <w:marBottom w:val="0"/>
          <w:divBdr>
            <w:top w:val="none" w:sz="0" w:space="0" w:color="auto"/>
            <w:left w:val="none" w:sz="0" w:space="0" w:color="auto"/>
            <w:bottom w:val="none" w:sz="0" w:space="0" w:color="auto"/>
            <w:right w:val="none" w:sz="0" w:space="0" w:color="auto"/>
          </w:divBdr>
          <w:divsChild>
            <w:div w:id="1742866235">
              <w:marLeft w:val="0"/>
              <w:marRight w:val="0"/>
              <w:marTop w:val="0"/>
              <w:marBottom w:val="0"/>
              <w:divBdr>
                <w:top w:val="none" w:sz="0" w:space="0" w:color="auto"/>
                <w:left w:val="none" w:sz="0" w:space="0" w:color="auto"/>
                <w:bottom w:val="none" w:sz="0" w:space="0" w:color="auto"/>
                <w:right w:val="none" w:sz="0" w:space="0" w:color="auto"/>
              </w:divBdr>
              <w:divsChild>
                <w:div w:id="6541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638">
      <w:bodyDiv w:val="1"/>
      <w:marLeft w:val="0"/>
      <w:marRight w:val="0"/>
      <w:marTop w:val="0"/>
      <w:marBottom w:val="0"/>
      <w:divBdr>
        <w:top w:val="none" w:sz="0" w:space="0" w:color="auto"/>
        <w:left w:val="none" w:sz="0" w:space="0" w:color="auto"/>
        <w:bottom w:val="none" w:sz="0" w:space="0" w:color="auto"/>
        <w:right w:val="none" w:sz="0" w:space="0" w:color="auto"/>
      </w:divBdr>
    </w:div>
    <w:div w:id="1962102789">
      <w:bodyDiv w:val="1"/>
      <w:marLeft w:val="0"/>
      <w:marRight w:val="0"/>
      <w:marTop w:val="0"/>
      <w:marBottom w:val="0"/>
      <w:divBdr>
        <w:top w:val="none" w:sz="0" w:space="0" w:color="auto"/>
        <w:left w:val="none" w:sz="0" w:space="0" w:color="auto"/>
        <w:bottom w:val="none" w:sz="0" w:space="0" w:color="auto"/>
        <w:right w:val="none" w:sz="0" w:space="0" w:color="auto"/>
      </w:divBdr>
    </w:div>
    <w:div w:id="2077316354">
      <w:bodyDiv w:val="1"/>
      <w:marLeft w:val="0"/>
      <w:marRight w:val="0"/>
      <w:marTop w:val="0"/>
      <w:marBottom w:val="0"/>
      <w:divBdr>
        <w:top w:val="none" w:sz="0" w:space="0" w:color="auto"/>
        <w:left w:val="none" w:sz="0" w:space="0" w:color="auto"/>
        <w:bottom w:val="none" w:sz="0" w:space="0" w:color="auto"/>
        <w:right w:val="none" w:sz="0" w:space="0" w:color="auto"/>
      </w:divBdr>
    </w:div>
    <w:div w:id="20944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09672559.2020.18462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081/jphr.2019.143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6/673716" TargetMode="External"/><Relationship Id="rId5" Type="http://schemas.openxmlformats.org/officeDocument/2006/relationships/webSettings" Target="webSettings.xml"/><Relationship Id="rId15" Type="http://schemas.openxmlformats.org/officeDocument/2006/relationships/hyperlink" Target="https://philpapers.org/rec/SIMRHO"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172/87675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bellion.global/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8F9A0-381E-44A3-9BE2-9ABF8E5C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42</Pages>
  <Words>28232</Words>
  <Characters>160929</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Baghramian</dc:creator>
  <cp:keywords/>
  <dc:description/>
  <cp:lastModifiedBy>Microsoft Office User</cp:lastModifiedBy>
  <cp:revision>3</cp:revision>
  <cp:lastPrinted>2021-07-25T00:08:00Z</cp:lastPrinted>
  <dcterms:created xsi:type="dcterms:W3CDTF">2025-06-02T00:20:00Z</dcterms:created>
  <dcterms:modified xsi:type="dcterms:W3CDTF">2025-06-02T00:34:00Z</dcterms:modified>
</cp:coreProperties>
</file>